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9F" w:rsidRDefault="00A81E5E">
      <w:pPr>
        <w:pStyle w:val="1Heading1"/>
        <w:numPr>
          <w:ilvl w:val="0"/>
          <w:numId w:val="0"/>
        </w:numPr>
        <w:ind w:left="360"/>
        <w:rPr>
          <w:noProof/>
          <w:kern w:val="28"/>
        </w:rPr>
      </w:pPr>
      <w:bookmarkStart w:id="0" w:name="_Toc214945325"/>
      <w:bookmarkStart w:id="1" w:name="_Toc221353238"/>
      <w:bookmarkStart w:id="2" w:name="_Toc360194602"/>
      <w:r>
        <w:rPr>
          <w:noProof/>
          <w:kern w:val="28"/>
        </w:rPr>
        <w:t xml:space="preserve">     Seeding Mixture Native Seed Butterfly Mix, Item SPV.0085.</w:t>
      </w:r>
      <w:r w:rsidRPr="00CA3A0E">
        <w:rPr>
          <w:noProof/>
          <w:kern w:val="28"/>
          <w:highlight w:val="yellow"/>
        </w:rPr>
        <w:t>XXXX</w:t>
      </w:r>
      <w:bookmarkEnd w:id="0"/>
      <w:bookmarkEnd w:id="1"/>
      <w:bookmarkEnd w:id="2"/>
    </w:p>
    <w:p w:rsidR="00E3659F" w:rsidRDefault="00A81E5E">
      <w:pPr>
        <w:widowControl w:val="0"/>
        <w:tabs>
          <w:tab w:val="left" w:pos="720"/>
        </w:tabs>
        <w:suppressAutoHyphens/>
        <w:rPr>
          <w:rFonts w:eastAsia="Times New Roman"/>
          <w:spacing w:val="-3"/>
        </w:rPr>
      </w:pPr>
      <w:r>
        <w:rPr>
          <w:rFonts w:eastAsia="Times New Roman"/>
          <w:spacing w:val="-2"/>
        </w:rPr>
        <w:t>This special provision describes seeding native seed butterfly mix. Conform to standard spec 630 for native seed mixes 70 or 70A except as follows:</w:t>
      </w:r>
      <w:r>
        <w:rPr>
          <w:rFonts w:eastAsia="Times New Roman"/>
          <w:spacing w:val="-3"/>
        </w:rPr>
        <w:t xml:space="preserve"> </w:t>
      </w:r>
    </w:p>
    <w:p w:rsidR="00E3659F" w:rsidRDefault="00E3659F">
      <w:pPr>
        <w:widowControl w:val="0"/>
        <w:suppressAutoHyphens/>
        <w:rPr>
          <w:rFonts w:eastAsia="Times New Roman"/>
          <w:spacing w:val="-3"/>
        </w:rPr>
      </w:pPr>
    </w:p>
    <w:p w:rsidR="007C1F90" w:rsidRPr="007F046A" w:rsidRDefault="007C1F90" w:rsidP="007C1F90">
      <w:pPr>
        <w:jc w:val="left"/>
        <w:rPr>
          <w:rFonts w:eastAsia="Times New Roman"/>
          <w:spacing w:val="-3"/>
        </w:rPr>
      </w:pPr>
      <w:r>
        <w:rPr>
          <w:rFonts w:eastAsia="Times New Roman"/>
          <w:spacing w:val="-3"/>
        </w:rPr>
        <w:t>Use a seed mix composed of the following</w:t>
      </w:r>
      <w:r w:rsidRPr="007C1F90">
        <w:rPr>
          <w:rFonts w:ascii="Arial" w:hAnsi="Arial" w:cs="Arial"/>
          <w:sz w:val="20"/>
          <w:szCs w:val="20"/>
        </w:rPr>
        <w:t xml:space="preserve"> </w:t>
      </w:r>
      <w:r w:rsidRPr="007F046A">
        <w:t>with a s</w:t>
      </w:r>
      <w:r w:rsidRPr="007F046A">
        <w:rPr>
          <w:spacing w:val="-1"/>
        </w:rPr>
        <w:t>o</w:t>
      </w:r>
      <w:r w:rsidRPr="007F046A">
        <w:t>wing rate for s</w:t>
      </w:r>
      <w:r w:rsidRPr="007F046A">
        <w:rPr>
          <w:spacing w:val="-1"/>
        </w:rPr>
        <w:t>e</w:t>
      </w:r>
      <w:r w:rsidRPr="007F046A">
        <w:t>eds</w:t>
      </w:r>
      <w:r w:rsidRPr="007F046A">
        <w:rPr>
          <w:spacing w:val="-2"/>
        </w:rPr>
        <w:t xml:space="preserve"> </w:t>
      </w:r>
      <w:r w:rsidRPr="007F046A">
        <w:t>in pou</w:t>
      </w:r>
      <w:r w:rsidRPr="007F046A">
        <w:rPr>
          <w:spacing w:val="-1"/>
        </w:rPr>
        <w:t>n</w:t>
      </w:r>
      <w:r w:rsidRPr="007F046A">
        <w:t xml:space="preserve">ds </w:t>
      </w:r>
      <w:r w:rsidRPr="007F046A">
        <w:rPr>
          <w:spacing w:val="-1"/>
        </w:rPr>
        <w:t>p</w:t>
      </w:r>
      <w:r w:rsidRPr="007F046A">
        <w:t>er 1000 squ</w:t>
      </w:r>
      <w:r w:rsidRPr="007F046A">
        <w:rPr>
          <w:spacing w:val="-1"/>
        </w:rPr>
        <w:t>a</w:t>
      </w:r>
      <w:r w:rsidRPr="007F046A">
        <w:t>re</w:t>
      </w:r>
      <w:r w:rsidRPr="007F046A">
        <w:rPr>
          <w:spacing w:val="-2"/>
        </w:rPr>
        <w:t xml:space="preserve"> </w:t>
      </w:r>
      <w:r w:rsidRPr="007F046A">
        <w:t>feet at 0.7 po</w:t>
      </w:r>
      <w:r w:rsidRPr="007F046A">
        <w:rPr>
          <w:spacing w:val="1"/>
        </w:rPr>
        <w:t>u</w:t>
      </w:r>
      <w:r w:rsidRPr="007F046A">
        <w:t>nds</w:t>
      </w:r>
      <w:r w:rsidRPr="007F046A">
        <w:rPr>
          <w:rFonts w:eastAsia="Times New Roman"/>
          <w:spacing w:val="-3"/>
        </w:rPr>
        <w:t>:</w:t>
      </w:r>
    </w:p>
    <w:p w:rsidR="007C1F90" w:rsidRDefault="007C1F90">
      <w:pPr>
        <w:widowControl w:val="0"/>
        <w:suppressAutoHyphens/>
        <w:rPr>
          <w:rFonts w:eastAsia="Times New Roman"/>
          <w:spacing w:val="-3"/>
        </w:rPr>
      </w:pPr>
    </w:p>
    <w:tbl>
      <w:tblPr>
        <w:tblW w:w="7305" w:type="dxa"/>
        <w:tblInd w:w="813" w:type="dxa"/>
        <w:tblLook w:val="04A0"/>
      </w:tblPr>
      <w:tblGrid>
        <w:gridCol w:w="2920"/>
        <w:gridCol w:w="2800"/>
        <w:gridCol w:w="1585"/>
      </w:tblGrid>
      <w:tr w:rsidR="00E3659F" w:rsidTr="005B6600">
        <w:trPr>
          <w:trHeight w:val="25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Common Name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Botanical Name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Mixture  %</w:t>
            </w:r>
          </w:p>
        </w:tc>
      </w:tr>
      <w:tr w:rsidR="00E3659F" w:rsidTr="005B6600">
        <w:trPr>
          <w:trHeight w:val="25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Forbs/</w:t>
            </w:r>
            <w:r>
              <w:rPr>
                <w:rFonts w:eastAsia="Times New Roman"/>
                <w:color w:val="000000"/>
                <w:szCs w:val="28"/>
              </w:rPr>
              <w:t>*</w:t>
            </w:r>
            <w:r>
              <w:rPr>
                <w:rFonts w:eastAsia="Times New Roman"/>
                <w:b/>
                <w:color w:val="000000"/>
                <w:szCs w:val="28"/>
              </w:rPr>
              <w:t>Legumes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E3659F">
            <w:pPr>
              <w:ind w:left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E3659F">
            <w:pPr>
              <w:ind w:left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3659F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Butterfly Weed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Asclepias tuberosa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E3659F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Common Milkweed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Asclepias syriaca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3659F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New England Aster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Aster novae-angliae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3659F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Rough Blazingstar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Liatris aspera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3659F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Showy Goldenrod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Solidago speciosa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3659F" w:rsidTr="005B6600">
        <w:trPr>
          <w:trHeight w:val="36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Wild White Indigo</w:t>
            </w:r>
            <w:r>
              <w:rPr>
                <w:rFonts w:eastAsia="Times New Roman"/>
                <w:bCs/>
                <w:color w:val="000000"/>
              </w:rPr>
              <w:t xml:space="preserve"> *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Baptisia leucantha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E3659F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Pale Purple Coneflower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Echinacea pallida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E3659F" w:rsidTr="005B6600">
        <w:trPr>
          <w:trHeight w:val="36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Showy Tick Trefoil</w:t>
            </w:r>
            <w:r>
              <w:rPr>
                <w:rFonts w:eastAsia="Times New Roman"/>
                <w:bCs/>
                <w:color w:val="000000"/>
              </w:rPr>
              <w:t xml:space="preserve"> *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Desmodium canadense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E3659F" w:rsidTr="005B6600">
        <w:trPr>
          <w:trHeight w:val="36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Purple Prairie Clover</w:t>
            </w:r>
            <w:r>
              <w:rPr>
                <w:rFonts w:eastAsia="Times New Roman"/>
                <w:bCs/>
                <w:color w:val="000000"/>
              </w:rPr>
              <w:t xml:space="preserve"> *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Dalea purpurea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AE3CEF" w:rsidTr="005B6600">
        <w:trPr>
          <w:trHeight w:val="36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Wild Lupine*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Lupinus perennis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AE3CEF" w:rsidDel="00AE3CE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AE3CEF" w:rsidTr="005B6600">
        <w:trPr>
          <w:trHeight w:val="36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New Jersey Tea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Ceanothus americanus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AE3CEF" w:rsidDel="00AE3CE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AE3CEF" w:rsidTr="005B6600">
        <w:trPr>
          <w:trHeight w:val="36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Showy Blazingstar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Liatris ligulistylis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AE3CEF" w:rsidDel="00AE3CE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AE3CEF" w:rsidTr="005B6600">
        <w:trPr>
          <w:trHeight w:val="36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Leadplant*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Amorpha canescens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AE3CEF" w:rsidDel="00AE3CE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AE3CEF" w:rsidTr="005B6600">
        <w:trPr>
          <w:trHeight w:val="36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Whorled milkweed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Asclepias verticillata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AE3CEF" w:rsidDel="00AE3CE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AE3CEF" w:rsidTr="005B6600">
        <w:trPr>
          <w:trHeight w:val="36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Smooth Blue Aster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Aster laevis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AE3CEF" w:rsidDel="00AE3CE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AE3CEF" w:rsidTr="005B6600">
        <w:trPr>
          <w:trHeight w:val="360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Bergamot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AE3CEF" w:rsidRDefault="00AE3CEF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Monarda fistulosa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AE3CEF" w:rsidDel="00AE3CEF" w:rsidRDefault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5B6600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 w:rsidP="005B6600">
            <w:pPr>
              <w:ind w:left="1757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</w:t>
            </w:r>
            <w:r w:rsidRPr="00E42A45">
              <w:rPr>
                <w:rFonts w:eastAsia="Times New Roman"/>
                <w:i/>
                <w:iCs/>
                <w:color w:val="000000"/>
              </w:rPr>
              <w:t>total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25%</w:t>
            </w:r>
          </w:p>
        </w:tc>
      </w:tr>
      <w:tr w:rsidR="005B6600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center"/>
              <w:rPr>
                <w:rFonts w:eastAsia="Times New Roman"/>
                <w:color w:val="000000"/>
              </w:rPr>
            </w:pPr>
          </w:p>
        </w:tc>
      </w:tr>
      <w:tr w:rsidR="005B6600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Grasses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center"/>
              <w:rPr>
                <w:rFonts w:eastAsia="Times New Roman"/>
                <w:color w:val="000000"/>
              </w:rPr>
            </w:pPr>
          </w:p>
        </w:tc>
      </w:tr>
      <w:tr w:rsidR="005B6600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June Grass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Koeleria macrantha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Del="00AE3CEF" w:rsidRDefault="005B6600" w:rsidP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5B6600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Switchgrass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Panicum virgatum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Del="00AE3CEF" w:rsidRDefault="005B6600" w:rsidP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5B6600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Sideoats Gramma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Bouteloua curtipendula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 w:rsidP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  <w:tr w:rsidR="005B6600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Canada Wildrye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Elymus canadensis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 w:rsidP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  <w:tr w:rsidR="005B6600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Little Bluestem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Schizachyrium scoparium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5B6600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Indiangrass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Sorgatrum nutans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 w:rsidP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5B6600" w:rsidTr="005B6600">
        <w:trPr>
          <w:trHeight w:val="285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total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75%</w:t>
            </w:r>
          </w:p>
          <w:p w:rsidR="006C442C" w:rsidRDefault="006C442C">
            <w:pPr>
              <w:ind w:left="0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E3659F" w:rsidRDefault="00E3659F">
      <w:pPr>
        <w:widowControl w:val="0"/>
        <w:suppressAutoHyphens/>
        <w:rPr>
          <w:rFonts w:eastAsia="Times New Roman"/>
        </w:rPr>
      </w:pPr>
    </w:p>
    <w:p w:rsidR="006C442C" w:rsidRPr="007578DA" w:rsidRDefault="006C442C" w:rsidP="006C442C">
      <w:pPr>
        <w:rPr>
          <w:rFonts w:eastAsia="Times New Roman"/>
        </w:rPr>
      </w:pPr>
      <w:r w:rsidRPr="007578DA">
        <w:rPr>
          <w:rFonts w:eastAsia="Times New Roman"/>
        </w:rPr>
        <w:t>*Legumes</w:t>
      </w:r>
    </w:p>
    <w:p w:rsidR="006C442C" w:rsidRDefault="006C442C">
      <w:pPr>
        <w:widowControl w:val="0"/>
        <w:suppressAutoHyphens/>
        <w:rPr>
          <w:rFonts w:eastAsia="Times New Roman"/>
        </w:rPr>
      </w:pPr>
    </w:p>
    <w:p w:rsidR="00E3659F" w:rsidRDefault="00E3659F">
      <w:pPr>
        <w:jc w:val="left"/>
        <w:rPr>
          <w:rFonts w:eastAsia="Times New Roman"/>
        </w:rPr>
      </w:pPr>
    </w:p>
    <w:p w:rsidR="00E3659F" w:rsidRDefault="00A81E5E">
      <w:pPr>
        <w:jc w:val="left"/>
        <w:rPr>
          <w:rFonts w:eastAsia="Times New Roman"/>
        </w:rPr>
      </w:pPr>
      <w:r>
        <w:rPr>
          <w:rFonts w:eastAsia="Times New Roman"/>
        </w:rPr>
        <w:t>In addition to the weeds eradicated during the first growing season under standard spec 630.3.3.6.2</w:t>
      </w:r>
      <w:r w:rsidR="000A48BA">
        <w:rPr>
          <w:rFonts w:eastAsia="Times New Roman"/>
        </w:rPr>
        <w:t xml:space="preserve">, </w:t>
      </w:r>
      <w:r>
        <w:rPr>
          <w:rFonts w:eastAsia="Times New Roman"/>
        </w:rPr>
        <w:t>eradicate</w:t>
      </w:r>
      <w:r w:rsidR="005B6600">
        <w:rPr>
          <w:rFonts w:eastAsia="Times New Roman"/>
        </w:rPr>
        <w:t xml:space="preserve"> </w:t>
      </w:r>
      <w:r w:rsidR="005D242F">
        <w:rPr>
          <w:rFonts w:eastAsia="Times New Roman"/>
        </w:rPr>
        <w:t xml:space="preserve">all Wisconsin NR40 prohibited and restricted invasive plant species </w:t>
      </w:r>
      <w:r w:rsidR="002C7E0C">
        <w:rPr>
          <w:rFonts w:eastAsia="Times New Roman"/>
        </w:rPr>
        <w:t xml:space="preserve">and </w:t>
      </w:r>
      <w:r w:rsidR="005D242F">
        <w:rPr>
          <w:rFonts w:eastAsia="Times New Roman"/>
        </w:rPr>
        <w:t>the following highly undesirable species that may pose a threat to the successful establishment of the planting:</w:t>
      </w:r>
      <w:r w:rsidR="000052CE" w:rsidRPr="000052CE">
        <w:rPr>
          <w:rFonts w:eastAsia="Times New Roman"/>
        </w:rPr>
        <w:t>Reed Canary Grass (Phalaris arundinacea) and Crown Vetch (Coronilla varia)</w:t>
      </w:r>
      <w:r w:rsidR="002C7E0C">
        <w:rPr>
          <w:rFonts w:eastAsia="Times New Roman"/>
        </w:rPr>
        <w:t>.</w:t>
      </w:r>
      <w:r w:rsidR="000052CE">
        <w:rPr>
          <w:rFonts w:eastAsia="Times New Roman"/>
        </w:rPr>
        <w:t xml:space="preserve"> </w:t>
      </w:r>
      <w:r>
        <w:rPr>
          <w:rFonts w:eastAsia="Times New Roman"/>
        </w:rPr>
        <w:t>Keep seeded areas free of unwanted species until the nurse crop has germinated and reached a minimum height of 4 inches.</w:t>
      </w:r>
    </w:p>
    <w:p w:rsidR="00CA3A0E" w:rsidRDefault="00CA3A0E">
      <w:pPr>
        <w:jc w:val="left"/>
        <w:rPr>
          <w:rFonts w:eastAsia="Times New Roman"/>
        </w:rPr>
      </w:pPr>
    </w:p>
    <w:p w:rsidR="00CA3A0E" w:rsidRDefault="00CA3A0E">
      <w:pPr>
        <w:jc w:val="left"/>
        <w:rPr>
          <w:rFonts w:eastAsia="Times New Roman"/>
        </w:rPr>
      </w:pPr>
      <w:r w:rsidRPr="00CA3A0E">
        <w:rPr>
          <w:rFonts w:eastAsia="Times New Roman"/>
        </w:rPr>
        <w:t>The department will pay for measured quantities at the contract unit price under the following bid item:</w:t>
      </w:r>
      <w:r w:rsidRPr="00CA3A0E">
        <w:rPr>
          <w:rFonts w:eastAsia="Times New Roman"/>
        </w:rPr>
        <w:br/>
      </w:r>
    </w:p>
    <w:tbl>
      <w:tblPr>
        <w:tblW w:w="0" w:type="auto"/>
        <w:tblInd w:w="720" w:type="dxa"/>
        <w:tblLook w:val="04A0"/>
      </w:tblPr>
      <w:tblGrid>
        <w:gridCol w:w="2950"/>
        <w:gridCol w:w="4808"/>
        <w:gridCol w:w="1098"/>
      </w:tblGrid>
      <w:tr w:rsidR="000A48BA" w:rsidTr="00411A08">
        <w:tc>
          <w:tcPr>
            <w:tcW w:w="2950" w:type="dxa"/>
          </w:tcPr>
          <w:p w:rsidR="000A48BA" w:rsidRDefault="000A48BA" w:rsidP="00411A08">
            <w:pPr>
              <w:pStyle w:val="STSP"/>
            </w:pPr>
            <w:r>
              <w:t>ITEM NUMBER</w:t>
            </w:r>
          </w:p>
        </w:tc>
        <w:tc>
          <w:tcPr>
            <w:tcW w:w="4808" w:type="dxa"/>
          </w:tcPr>
          <w:p w:rsidR="000A48BA" w:rsidRDefault="000A48BA" w:rsidP="00411A08">
            <w:pPr>
              <w:pStyle w:val="STSP"/>
            </w:pPr>
            <w:r>
              <w:t>DESCRIPTION</w:t>
            </w:r>
          </w:p>
        </w:tc>
        <w:tc>
          <w:tcPr>
            <w:tcW w:w="1098" w:type="dxa"/>
          </w:tcPr>
          <w:p w:rsidR="000A48BA" w:rsidRDefault="000A48BA" w:rsidP="00411A08">
            <w:pPr>
              <w:pStyle w:val="STSP"/>
            </w:pPr>
            <w:r>
              <w:t>UNIT</w:t>
            </w:r>
          </w:p>
        </w:tc>
      </w:tr>
      <w:tr w:rsidR="000A48BA" w:rsidTr="00411A08">
        <w:tc>
          <w:tcPr>
            <w:tcW w:w="2950" w:type="dxa"/>
          </w:tcPr>
          <w:p w:rsidR="000A48BA" w:rsidRDefault="000A48BA" w:rsidP="00411A08">
            <w:pPr>
              <w:pStyle w:val="STSP"/>
            </w:pPr>
            <w:r>
              <w:rPr>
                <w:rFonts w:eastAsia="Times New Roman"/>
              </w:rPr>
              <w:t>SPV</w:t>
            </w:r>
            <w:r w:rsidRPr="00CA3A0E">
              <w:rPr>
                <w:rFonts w:eastAsia="Times New Roman"/>
              </w:rPr>
              <w:t>.0085.</w:t>
            </w:r>
            <w:r w:rsidRPr="000A48BA">
              <w:rPr>
                <w:rFonts w:eastAsia="Times New Roman"/>
                <w:highlight w:val="yellow"/>
              </w:rPr>
              <w:t>XXXX</w:t>
            </w:r>
          </w:p>
        </w:tc>
        <w:tc>
          <w:tcPr>
            <w:tcW w:w="4808" w:type="dxa"/>
          </w:tcPr>
          <w:p w:rsidR="000A48BA" w:rsidRDefault="000A48BA" w:rsidP="00411A08">
            <w:pPr>
              <w:pStyle w:val="STSP"/>
            </w:pPr>
            <w:r w:rsidRPr="00CA3A0E">
              <w:rPr>
                <w:rFonts w:eastAsia="Times New Roman"/>
              </w:rPr>
              <w:t>Seeding Mixture Native Seed Butterfly Mix</w:t>
            </w:r>
          </w:p>
        </w:tc>
        <w:tc>
          <w:tcPr>
            <w:tcW w:w="1098" w:type="dxa"/>
          </w:tcPr>
          <w:p w:rsidR="000A48BA" w:rsidRDefault="000A48BA" w:rsidP="00411A08">
            <w:pPr>
              <w:pStyle w:val="STSP"/>
            </w:pPr>
            <w:r w:rsidRPr="00CA3A0E">
              <w:rPr>
                <w:rFonts w:eastAsia="Times New Roman"/>
              </w:rPr>
              <w:t>LB</w:t>
            </w:r>
          </w:p>
        </w:tc>
      </w:tr>
    </w:tbl>
    <w:p w:rsidR="00CA3A0E" w:rsidRDefault="00CA3A0E">
      <w:pPr>
        <w:jc w:val="left"/>
        <w:rPr>
          <w:rFonts w:eastAsia="Times New Roman"/>
        </w:rPr>
      </w:pPr>
    </w:p>
    <w:p w:rsidR="000A48BA" w:rsidRDefault="00A47DA5" w:rsidP="000A48BA">
      <w:pPr>
        <w:autoSpaceDE w:val="0"/>
        <w:autoSpaceDN w:val="0"/>
        <w:adjustRightInd w:val="0"/>
        <w:jc w:val="left"/>
        <w:rPr>
          <w:rFonts w:eastAsia="Times New Roman"/>
        </w:rPr>
      </w:pPr>
      <w:r>
        <w:t>SEF-ZOO IC</w:t>
      </w:r>
      <w:r w:rsidR="000A48BA">
        <w:t xml:space="preserve"> </w:t>
      </w:r>
      <w:r w:rsidR="000A48BA" w:rsidRPr="00106F2E">
        <w:t>1</w:t>
      </w:r>
      <w:r w:rsidR="000A48BA">
        <w:t>4</w:t>
      </w:r>
      <w:r w:rsidR="000A48BA" w:rsidRPr="00106F2E">
        <w:t>_</w:t>
      </w:r>
      <w:r w:rsidR="005B6600" w:rsidRPr="00106F2E">
        <w:t>0</w:t>
      </w:r>
      <w:r w:rsidR="005B6600">
        <w:t>5</w:t>
      </w:r>
      <w:r w:rsidR="006C442C">
        <w:t>19</w:t>
      </w:r>
    </w:p>
    <w:sectPr w:rsidR="000A48BA" w:rsidSect="00E36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8B0" w:rsidRDefault="006B58B0">
      <w:r>
        <w:separator/>
      </w:r>
    </w:p>
  </w:endnote>
  <w:endnote w:type="continuationSeparator" w:id="0">
    <w:p w:rsidR="006B58B0" w:rsidRDefault="006B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56" w:rsidRDefault="003938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56" w:rsidRDefault="003938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56" w:rsidRDefault="003938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8B0" w:rsidRDefault="006B58B0">
      <w:r>
        <w:separator/>
      </w:r>
    </w:p>
  </w:footnote>
  <w:footnote w:type="continuationSeparator" w:id="0">
    <w:p w:rsidR="006B58B0" w:rsidRDefault="006B5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56" w:rsidRDefault="003938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56" w:rsidRDefault="00DB3366" w:rsidP="00DB3366">
    <w:pPr>
      <w:pStyle w:val="Header"/>
      <w:ind w:left="720"/>
      <w:rPr>
        <w:i/>
        <w:highlight w:val="yellow"/>
      </w:rPr>
    </w:pPr>
    <w:r w:rsidRPr="00DB3366">
      <w:rPr>
        <w:i/>
        <w:highlight w:val="yellow"/>
      </w:rPr>
      <w:t xml:space="preserve">Note to designers: To be used for </w:t>
    </w:r>
    <w:r w:rsidR="00AF2A88">
      <w:rPr>
        <w:i/>
        <w:highlight w:val="yellow"/>
      </w:rPr>
      <w:t>most</w:t>
    </w:r>
    <w:r w:rsidR="00393856">
      <w:rPr>
        <w:i/>
        <w:highlight w:val="yellow"/>
      </w:rPr>
      <w:t xml:space="preserve"> Zoo I/C projects.</w:t>
    </w:r>
    <w:r w:rsidRPr="00DB3366">
      <w:rPr>
        <w:i/>
        <w:highlight w:val="yellow"/>
      </w:rPr>
      <w:t xml:space="preserve"> </w:t>
    </w:r>
  </w:p>
  <w:p w:rsidR="00DB3366" w:rsidRPr="00DB3366" w:rsidRDefault="00DB3366" w:rsidP="00DB3366">
    <w:pPr>
      <w:pStyle w:val="Header"/>
      <w:ind w:left="720"/>
      <w:rPr>
        <w:i/>
        <w:highlight w:val="yellow"/>
      </w:rPr>
    </w:pPr>
    <w:r w:rsidRPr="00DB3366">
      <w:rPr>
        <w:i/>
        <w:highlight w:val="yellow"/>
      </w:rPr>
      <w:t xml:space="preserve">Inclusions: </w:t>
    </w:r>
    <w:r w:rsidR="00AF2A88">
      <w:rPr>
        <w:i/>
        <w:highlight w:val="yellow"/>
      </w:rPr>
      <w:t xml:space="preserve">All Zoo I/C projects where the department </w:t>
    </w:r>
    <w:r w:rsidR="00AF2A88">
      <w:rPr>
        <w:i/>
        <w:highlight w:val="yellow"/>
      </w:rPr>
      <w:t>wil</w:t>
    </w:r>
    <w:r w:rsidR="00705A7C">
      <w:rPr>
        <w:i/>
        <w:highlight w:val="yellow"/>
      </w:rPr>
      <w:t>l</w:t>
    </w:r>
    <w:r w:rsidR="00AF2A88">
      <w:rPr>
        <w:i/>
        <w:highlight w:val="yellow"/>
      </w:rPr>
      <w:t xml:space="preserve"> maintain seeded areas.</w:t>
    </w:r>
  </w:p>
  <w:p w:rsidR="00DB3366" w:rsidRDefault="00DB3366" w:rsidP="00DB3366">
    <w:pPr>
      <w:pStyle w:val="Header"/>
      <w:ind w:left="720"/>
      <w:rPr>
        <w:i/>
        <w:highlight w:val="yellow"/>
      </w:rPr>
    </w:pPr>
    <w:r w:rsidRPr="00DB3366">
      <w:rPr>
        <w:i/>
        <w:highlight w:val="yellow"/>
      </w:rPr>
      <w:t>Exclusions: Disturbed urban areas, including terrace areas next to sidewalks and driveways as well as private property restorations where sod would be used instead.</w:t>
    </w:r>
  </w:p>
  <w:p w:rsidR="00CA3A0E" w:rsidRPr="00CA3A0E" w:rsidRDefault="00AF2A88" w:rsidP="00CA3A0E">
    <w:pPr>
      <w:pStyle w:val="CommentText"/>
      <w:rPr>
        <w:i/>
        <w:sz w:val="24"/>
        <w:szCs w:val="24"/>
      </w:rPr>
    </w:pPr>
    <w:r>
      <w:rPr>
        <w:i/>
        <w:sz w:val="24"/>
        <w:szCs w:val="24"/>
        <w:highlight w:val="yellow"/>
      </w:rPr>
      <w:t>30 feet from proposed roadway shoulder</w:t>
    </w:r>
    <w:r w:rsidR="00CA3A0E" w:rsidRPr="00CA3A0E">
      <w:rPr>
        <w:i/>
        <w:sz w:val="24"/>
        <w:szCs w:val="24"/>
        <w:highlight w:val="yellow"/>
      </w:rPr>
      <w:t>.</w:t>
    </w:r>
  </w:p>
  <w:p w:rsidR="00DB3366" w:rsidRDefault="00DB33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56" w:rsidRDefault="003938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F01F0"/>
    <w:multiLevelType w:val="hybridMultilevel"/>
    <w:tmpl w:val="80907DD6"/>
    <w:lvl w:ilvl="0" w:tplc="04090005">
      <w:start w:val="1"/>
      <w:numFmt w:val="decimal"/>
      <w:pStyle w:val="1Heading1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59F"/>
    <w:rsid w:val="000052CE"/>
    <w:rsid w:val="000A48BA"/>
    <w:rsid w:val="00176ED5"/>
    <w:rsid w:val="001C3F5A"/>
    <w:rsid w:val="00222CDE"/>
    <w:rsid w:val="002C7E0C"/>
    <w:rsid w:val="00345FFC"/>
    <w:rsid w:val="00351EA9"/>
    <w:rsid w:val="00393856"/>
    <w:rsid w:val="003E2B66"/>
    <w:rsid w:val="004C343C"/>
    <w:rsid w:val="00592B44"/>
    <w:rsid w:val="00593CDD"/>
    <w:rsid w:val="005B6600"/>
    <w:rsid w:val="005D242F"/>
    <w:rsid w:val="005D3469"/>
    <w:rsid w:val="006B58B0"/>
    <w:rsid w:val="006C442C"/>
    <w:rsid w:val="00705A7C"/>
    <w:rsid w:val="00716D12"/>
    <w:rsid w:val="007578DA"/>
    <w:rsid w:val="007A01D7"/>
    <w:rsid w:val="007C1F90"/>
    <w:rsid w:val="007F046A"/>
    <w:rsid w:val="0081790E"/>
    <w:rsid w:val="008276B8"/>
    <w:rsid w:val="00904F9D"/>
    <w:rsid w:val="009C465E"/>
    <w:rsid w:val="00A47DA5"/>
    <w:rsid w:val="00A81E5E"/>
    <w:rsid w:val="00AE3CEF"/>
    <w:rsid w:val="00AF2A88"/>
    <w:rsid w:val="00B11299"/>
    <w:rsid w:val="00BA50D0"/>
    <w:rsid w:val="00CA3A0E"/>
    <w:rsid w:val="00D279B7"/>
    <w:rsid w:val="00DB3366"/>
    <w:rsid w:val="00E3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59F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659F"/>
    <w:pPr>
      <w:keepNext/>
      <w:keepLines/>
      <w:spacing w:before="240" w:after="240"/>
      <w:ind w:hanging="72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59F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autoRedefine/>
    <w:uiPriority w:val="34"/>
    <w:qFormat/>
    <w:rsid w:val="00E3659F"/>
    <w:pPr>
      <w:spacing w:before="100" w:beforeAutospacing="1" w:after="100" w:afterAutospacing="1"/>
      <w:ind w:left="1440" w:hanging="360"/>
    </w:pPr>
    <w:rPr>
      <w:rFonts w:eastAsia="Calibri"/>
      <w:szCs w:val="22"/>
    </w:rPr>
  </w:style>
  <w:style w:type="paragraph" w:customStyle="1" w:styleId="1Heading1">
    <w:name w:val="1 Heading 1"/>
    <w:basedOn w:val="Normal"/>
    <w:link w:val="1Heading1Char"/>
    <w:qFormat/>
    <w:rsid w:val="00E3659F"/>
    <w:pPr>
      <w:numPr>
        <w:numId w:val="1"/>
      </w:numPr>
      <w:spacing w:before="240" w:after="240"/>
      <w:ind w:hanging="720"/>
      <w:jc w:val="left"/>
      <w:outlineLvl w:val="0"/>
    </w:pPr>
    <w:rPr>
      <w:b/>
      <w:sz w:val="28"/>
      <w:szCs w:val="28"/>
    </w:rPr>
  </w:style>
  <w:style w:type="character" w:customStyle="1" w:styleId="1Heading1Char">
    <w:name w:val="1 Heading 1 Char"/>
    <w:basedOn w:val="DefaultParagraphFont"/>
    <w:link w:val="1Heading1"/>
    <w:rsid w:val="00E3659F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3659F"/>
    <w:pPr>
      <w:ind w:left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E3659F"/>
  </w:style>
  <w:style w:type="character" w:styleId="CommentReference">
    <w:name w:val="annotation reference"/>
    <w:basedOn w:val="DefaultParagraphFont"/>
    <w:uiPriority w:val="99"/>
    <w:semiHidden/>
    <w:unhideWhenUsed/>
    <w:rsid w:val="00E3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5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5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36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59F"/>
  </w:style>
  <w:style w:type="paragraph" w:customStyle="1" w:styleId="STSP">
    <w:name w:val="STSP"/>
    <w:qFormat/>
    <w:rsid w:val="000A48BA"/>
    <w:pPr>
      <w:tabs>
        <w:tab w:val="left" w:pos="432"/>
      </w:tabs>
      <w:ind w:lef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4A05-1F1A-413E-B392-3BBBC0A3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Bast</dc:creator>
  <cp:lastModifiedBy>dottes</cp:lastModifiedBy>
  <cp:revision>3</cp:revision>
  <cp:lastPrinted>2013-09-17T18:59:00Z</cp:lastPrinted>
  <dcterms:created xsi:type="dcterms:W3CDTF">2014-05-27T19:50:00Z</dcterms:created>
  <dcterms:modified xsi:type="dcterms:W3CDTF">2014-07-01T16:53:00Z</dcterms:modified>
</cp:coreProperties>
</file>