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52" w:rsidRPr="00CF11A4" w:rsidRDefault="00BE2267" w:rsidP="00CF11A4">
      <w:pPr>
        <w:jc w:val="center"/>
        <w:rPr>
          <w:rFonts w:cs="Arial"/>
          <w:b/>
          <w:sz w:val="22"/>
          <w:szCs w:val="22"/>
        </w:rPr>
      </w:pPr>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bookmarkStart w:id="0" w:name="_GoBack"/>
      <w:bookmarkEnd w:id="0"/>
      <w:r w:rsidRPr="00EA080F">
        <w:rPr>
          <w:rFonts w:cs="Arial"/>
          <w:b/>
          <w:sz w:val="22"/>
          <w:szCs w:val="22"/>
        </w:rPr>
        <w:tab/>
        <w:t>Description</w:t>
      </w:r>
      <w:r w:rsidRPr="00EA080F">
        <w:rPr>
          <w:rFonts w:cs="Arial"/>
          <w:b/>
          <w:sz w:val="22"/>
          <w:szCs w:val="22"/>
        </w:rPr>
        <w:tab/>
        <w:t>Page #</w:t>
      </w:r>
    </w:p>
    <w:p w:rsidR="008E4405" w:rsidRDefault="00CF5A0F">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30768675" w:history="1">
        <w:r w:rsidR="008E4405" w:rsidRPr="0007633F">
          <w:rPr>
            <w:rStyle w:val="Hyperlink"/>
            <w:noProof/>
          </w:rPr>
          <w:t>1.</w:t>
        </w:r>
        <w:r w:rsidR="008E4405">
          <w:rPr>
            <w:rFonts w:asciiTheme="minorHAnsi" w:eastAsiaTheme="minorEastAsia" w:hAnsiTheme="minorHAnsi"/>
            <w:noProof/>
            <w:sz w:val="22"/>
            <w:szCs w:val="22"/>
          </w:rPr>
          <w:tab/>
        </w:r>
        <w:r w:rsidR="008E4405" w:rsidRPr="0007633F">
          <w:rPr>
            <w:rStyle w:val="Hyperlink"/>
            <w:noProof/>
          </w:rPr>
          <w:t>General.</w:t>
        </w:r>
        <w:r w:rsidR="008E4405">
          <w:rPr>
            <w:noProof/>
            <w:webHidden/>
          </w:rPr>
          <w:tab/>
        </w:r>
        <w:r w:rsidR="008E4405">
          <w:rPr>
            <w:noProof/>
            <w:webHidden/>
          </w:rPr>
          <w:fldChar w:fldCharType="begin"/>
        </w:r>
        <w:r w:rsidR="008E4405">
          <w:rPr>
            <w:noProof/>
            <w:webHidden/>
          </w:rPr>
          <w:instrText xml:space="preserve"> PAGEREF _Toc30768675 \h </w:instrText>
        </w:r>
        <w:r w:rsidR="008E4405">
          <w:rPr>
            <w:noProof/>
            <w:webHidden/>
          </w:rPr>
        </w:r>
        <w:r w:rsidR="008E4405">
          <w:rPr>
            <w:noProof/>
            <w:webHidden/>
          </w:rPr>
          <w:fldChar w:fldCharType="separate"/>
        </w:r>
        <w:r w:rsidR="008E4405">
          <w:rPr>
            <w:noProof/>
            <w:webHidden/>
          </w:rPr>
          <w:t>2</w:t>
        </w:r>
        <w:r w:rsidR="008E4405">
          <w:rPr>
            <w:noProof/>
            <w:webHidden/>
          </w:rPr>
          <w:fldChar w:fldCharType="end"/>
        </w:r>
      </w:hyperlink>
    </w:p>
    <w:p w:rsidR="008E4405" w:rsidRDefault="008E4405">
      <w:pPr>
        <w:pStyle w:val="TOC1"/>
        <w:rPr>
          <w:rFonts w:asciiTheme="minorHAnsi" w:eastAsiaTheme="minorEastAsia" w:hAnsiTheme="minorHAnsi"/>
          <w:noProof/>
          <w:sz w:val="22"/>
          <w:szCs w:val="22"/>
        </w:rPr>
      </w:pPr>
      <w:hyperlink w:anchor="_Toc30768676" w:history="1">
        <w:r w:rsidRPr="0007633F">
          <w:rPr>
            <w:rStyle w:val="Hyperlink"/>
            <w:noProof/>
          </w:rPr>
          <w:t>2.</w:t>
        </w:r>
        <w:r>
          <w:rPr>
            <w:rFonts w:asciiTheme="minorHAnsi" w:eastAsiaTheme="minorEastAsia" w:hAnsiTheme="minorHAnsi"/>
            <w:noProof/>
            <w:sz w:val="22"/>
            <w:szCs w:val="22"/>
          </w:rPr>
          <w:tab/>
        </w:r>
        <w:r w:rsidRPr="0007633F">
          <w:rPr>
            <w:rStyle w:val="Hyperlink"/>
            <w:noProof/>
          </w:rPr>
          <w:t>Scope of Work.</w:t>
        </w:r>
        <w:r>
          <w:rPr>
            <w:noProof/>
            <w:webHidden/>
          </w:rPr>
          <w:tab/>
        </w:r>
        <w:r>
          <w:rPr>
            <w:noProof/>
            <w:webHidden/>
          </w:rPr>
          <w:fldChar w:fldCharType="begin"/>
        </w:r>
        <w:r>
          <w:rPr>
            <w:noProof/>
            <w:webHidden/>
          </w:rPr>
          <w:instrText xml:space="preserve"> PAGEREF _Toc30768676 \h </w:instrText>
        </w:r>
        <w:r>
          <w:rPr>
            <w:noProof/>
            <w:webHidden/>
          </w:rPr>
        </w:r>
        <w:r>
          <w:rPr>
            <w:noProof/>
            <w:webHidden/>
          </w:rPr>
          <w:fldChar w:fldCharType="separate"/>
        </w:r>
        <w:r>
          <w:rPr>
            <w:noProof/>
            <w:webHidden/>
          </w:rPr>
          <w:t>2</w:t>
        </w:r>
        <w:r>
          <w:rPr>
            <w:noProof/>
            <w:webHidden/>
          </w:rPr>
          <w:fldChar w:fldCharType="end"/>
        </w:r>
      </w:hyperlink>
    </w:p>
    <w:p w:rsidR="008E4405" w:rsidRDefault="008E4405">
      <w:pPr>
        <w:pStyle w:val="TOC1"/>
        <w:rPr>
          <w:rFonts w:asciiTheme="minorHAnsi" w:eastAsiaTheme="minorEastAsia" w:hAnsiTheme="minorHAnsi"/>
          <w:noProof/>
          <w:sz w:val="22"/>
          <w:szCs w:val="22"/>
        </w:rPr>
      </w:pPr>
      <w:hyperlink w:anchor="_Toc30768677" w:history="1">
        <w:r w:rsidRPr="0007633F">
          <w:rPr>
            <w:rStyle w:val="Hyperlink"/>
            <w:noProof/>
          </w:rPr>
          <w:t>3.</w:t>
        </w:r>
        <w:r>
          <w:rPr>
            <w:rFonts w:asciiTheme="minorHAnsi" w:eastAsiaTheme="minorEastAsia" w:hAnsiTheme="minorHAnsi"/>
            <w:noProof/>
            <w:sz w:val="22"/>
            <w:szCs w:val="22"/>
          </w:rPr>
          <w:tab/>
        </w:r>
        <w:r w:rsidRPr="0007633F">
          <w:rPr>
            <w:rStyle w:val="Hyperlink"/>
            <w:noProof/>
          </w:rPr>
          <w:t>Prosecution and Progress.</w:t>
        </w:r>
        <w:r>
          <w:rPr>
            <w:noProof/>
            <w:webHidden/>
          </w:rPr>
          <w:tab/>
        </w:r>
        <w:r>
          <w:rPr>
            <w:noProof/>
            <w:webHidden/>
          </w:rPr>
          <w:fldChar w:fldCharType="begin"/>
        </w:r>
        <w:r>
          <w:rPr>
            <w:noProof/>
            <w:webHidden/>
          </w:rPr>
          <w:instrText xml:space="preserve"> PAGEREF _Toc30768677 \h </w:instrText>
        </w:r>
        <w:r>
          <w:rPr>
            <w:noProof/>
            <w:webHidden/>
          </w:rPr>
        </w:r>
        <w:r>
          <w:rPr>
            <w:noProof/>
            <w:webHidden/>
          </w:rPr>
          <w:fldChar w:fldCharType="separate"/>
        </w:r>
        <w:r>
          <w:rPr>
            <w:noProof/>
            <w:webHidden/>
          </w:rPr>
          <w:t>2</w:t>
        </w:r>
        <w:r>
          <w:rPr>
            <w:noProof/>
            <w:webHidden/>
          </w:rPr>
          <w:fldChar w:fldCharType="end"/>
        </w:r>
      </w:hyperlink>
    </w:p>
    <w:p w:rsidR="008E4405" w:rsidRDefault="008E4405">
      <w:pPr>
        <w:pStyle w:val="TOC1"/>
        <w:rPr>
          <w:rFonts w:asciiTheme="minorHAnsi" w:eastAsiaTheme="minorEastAsia" w:hAnsiTheme="minorHAnsi"/>
          <w:noProof/>
          <w:sz w:val="22"/>
          <w:szCs w:val="22"/>
        </w:rPr>
      </w:pPr>
      <w:hyperlink w:anchor="_Toc30768678" w:history="1">
        <w:r w:rsidRPr="0007633F">
          <w:rPr>
            <w:rStyle w:val="Hyperlink"/>
            <w:noProof/>
          </w:rPr>
          <w:t>4.</w:t>
        </w:r>
        <w:r>
          <w:rPr>
            <w:rFonts w:asciiTheme="minorHAnsi" w:eastAsiaTheme="minorEastAsia" w:hAnsiTheme="minorHAnsi"/>
            <w:noProof/>
            <w:sz w:val="22"/>
            <w:szCs w:val="22"/>
          </w:rPr>
          <w:tab/>
        </w:r>
        <w:r w:rsidRPr="0007633F">
          <w:rPr>
            <w:rStyle w:val="Hyperlink"/>
            <w:noProof/>
          </w:rPr>
          <w:t>Utilities.</w:t>
        </w:r>
        <w:r>
          <w:rPr>
            <w:noProof/>
            <w:webHidden/>
          </w:rPr>
          <w:tab/>
        </w:r>
        <w:r>
          <w:rPr>
            <w:noProof/>
            <w:webHidden/>
          </w:rPr>
          <w:fldChar w:fldCharType="begin"/>
        </w:r>
        <w:r>
          <w:rPr>
            <w:noProof/>
            <w:webHidden/>
          </w:rPr>
          <w:instrText xml:space="preserve"> PAGEREF _Toc30768678 \h </w:instrText>
        </w:r>
        <w:r>
          <w:rPr>
            <w:noProof/>
            <w:webHidden/>
          </w:rPr>
        </w:r>
        <w:r>
          <w:rPr>
            <w:noProof/>
            <w:webHidden/>
          </w:rPr>
          <w:fldChar w:fldCharType="separate"/>
        </w:r>
        <w:r>
          <w:rPr>
            <w:noProof/>
            <w:webHidden/>
          </w:rPr>
          <w:t>2</w:t>
        </w:r>
        <w:r>
          <w:rPr>
            <w:noProof/>
            <w:webHidden/>
          </w:rPr>
          <w:fldChar w:fldCharType="end"/>
        </w:r>
      </w:hyperlink>
    </w:p>
    <w:p w:rsidR="008E4405" w:rsidRDefault="008E4405">
      <w:pPr>
        <w:pStyle w:val="TOC1"/>
        <w:rPr>
          <w:rFonts w:asciiTheme="minorHAnsi" w:eastAsiaTheme="minorEastAsia" w:hAnsiTheme="minorHAnsi"/>
          <w:noProof/>
          <w:sz w:val="22"/>
          <w:szCs w:val="22"/>
        </w:rPr>
      </w:pPr>
      <w:hyperlink w:anchor="_Toc30768679" w:history="1">
        <w:r w:rsidRPr="0007633F">
          <w:rPr>
            <w:rStyle w:val="Hyperlink"/>
            <w:noProof/>
          </w:rPr>
          <w:t>5.</w:t>
        </w:r>
        <w:r>
          <w:rPr>
            <w:rFonts w:asciiTheme="minorHAnsi" w:eastAsiaTheme="minorEastAsia" w:hAnsiTheme="minorHAnsi"/>
            <w:noProof/>
            <w:sz w:val="22"/>
            <w:szCs w:val="22"/>
          </w:rPr>
          <w:tab/>
        </w:r>
        <w:r w:rsidRPr="0007633F">
          <w:rPr>
            <w:rStyle w:val="Hyperlink"/>
            <w:noProof/>
          </w:rPr>
          <w:t>Environmental Protection, Aquatic Exotic Species Control.</w:t>
        </w:r>
        <w:r>
          <w:rPr>
            <w:noProof/>
            <w:webHidden/>
          </w:rPr>
          <w:tab/>
        </w:r>
        <w:r>
          <w:rPr>
            <w:noProof/>
            <w:webHidden/>
          </w:rPr>
          <w:fldChar w:fldCharType="begin"/>
        </w:r>
        <w:r>
          <w:rPr>
            <w:noProof/>
            <w:webHidden/>
          </w:rPr>
          <w:instrText xml:space="preserve"> PAGEREF _Toc30768679 \h </w:instrText>
        </w:r>
        <w:r>
          <w:rPr>
            <w:noProof/>
            <w:webHidden/>
          </w:rPr>
        </w:r>
        <w:r>
          <w:rPr>
            <w:noProof/>
            <w:webHidden/>
          </w:rPr>
          <w:fldChar w:fldCharType="separate"/>
        </w:r>
        <w:r>
          <w:rPr>
            <w:noProof/>
            <w:webHidden/>
          </w:rPr>
          <w:t>3</w:t>
        </w:r>
        <w:r>
          <w:rPr>
            <w:noProof/>
            <w:webHidden/>
          </w:rPr>
          <w:fldChar w:fldCharType="end"/>
        </w:r>
      </w:hyperlink>
    </w:p>
    <w:p w:rsidR="008E4405" w:rsidRDefault="008E4405">
      <w:pPr>
        <w:pStyle w:val="TOC1"/>
        <w:rPr>
          <w:rFonts w:asciiTheme="minorHAnsi" w:eastAsiaTheme="minorEastAsia" w:hAnsiTheme="minorHAnsi"/>
          <w:noProof/>
          <w:sz w:val="22"/>
          <w:szCs w:val="22"/>
        </w:rPr>
      </w:pPr>
      <w:hyperlink w:anchor="_Toc30768680" w:history="1">
        <w:r w:rsidRPr="0007633F">
          <w:rPr>
            <w:rStyle w:val="Hyperlink"/>
            <w:noProof/>
          </w:rPr>
          <w:t>6.</w:t>
        </w:r>
        <w:r>
          <w:rPr>
            <w:rFonts w:asciiTheme="minorHAnsi" w:eastAsiaTheme="minorEastAsia" w:hAnsiTheme="minorHAnsi"/>
            <w:noProof/>
            <w:sz w:val="22"/>
            <w:szCs w:val="22"/>
          </w:rPr>
          <w:tab/>
        </w:r>
        <w:r w:rsidRPr="0007633F">
          <w:rPr>
            <w:rStyle w:val="Hyperlink"/>
            <w:noProof/>
          </w:rPr>
          <w:t>Erosion Control.</w:t>
        </w:r>
        <w:r>
          <w:rPr>
            <w:noProof/>
            <w:webHidden/>
          </w:rPr>
          <w:tab/>
        </w:r>
        <w:r>
          <w:rPr>
            <w:noProof/>
            <w:webHidden/>
          </w:rPr>
          <w:fldChar w:fldCharType="begin"/>
        </w:r>
        <w:r>
          <w:rPr>
            <w:noProof/>
            <w:webHidden/>
          </w:rPr>
          <w:instrText xml:space="preserve"> PAGEREF _Toc30768680 \h </w:instrText>
        </w:r>
        <w:r>
          <w:rPr>
            <w:noProof/>
            <w:webHidden/>
          </w:rPr>
        </w:r>
        <w:r>
          <w:rPr>
            <w:noProof/>
            <w:webHidden/>
          </w:rPr>
          <w:fldChar w:fldCharType="separate"/>
        </w:r>
        <w:r>
          <w:rPr>
            <w:noProof/>
            <w:webHidden/>
          </w:rPr>
          <w:t>3</w:t>
        </w:r>
        <w:r>
          <w:rPr>
            <w:noProof/>
            <w:webHidden/>
          </w:rPr>
          <w:fldChar w:fldCharType="end"/>
        </w:r>
      </w:hyperlink>
    </w:p>
    <w:p w:rsidR="008E4405" w:rsidRDefault="008E4405">
      <w:pPr>
        <w:pStyle w:val="TOC1"/>
        <w:rPr>
          <w:rFonts w:asciiTheme="minorHAnsi" w:eastAsiaTheme="minorEastAsia" w:hAnsiTheme="minorHAnsi"/>
          <w:noProof/>
          <w:sz w:val="22"/>
          <w:szCs w:val="22"/>
        </w:rPr>
      </w:pPr>
      <w:hyperlink w:anchor="_Toc30768681" w:history="1">
        <w:r w:rsidRPr="0007633F">
          <w:rPr>
            <w:rStyle w:val="Hyperlink"/>
            <w:noProof/>
          </w:rPr>
          <w:t>7.</w:t>
        </w:r>
        <w:r>
          <w:rPr>
            <w:rFonts w:asciiTheme="minorHAnsi" w:eastAsiaTheme="minorEastAsia" w:hAnsiTheme="minorHAnsi"/>
            <w:noProof/>
            <w:sz w:val="22"/>
            <w:szCs w:val="22"/>
          </w:rPr>
          <w:tab/>
        </w:r>
        <w:r w:rsidRPr="0007633F">
          <w:rPr>
            <w:rStyle w:val="Hyperlink"/>
            <w:noProof/>
          </w:rPr>
          <w:t>Traffic Control.</w:t>
        </w:r>
        <w:r>
          <w:rPr>
            <w:noProof/>
            <w:webHidden/>
          </w:rPr>
          <w:tab/>
        </w:r>
        <w:r>
          <w:rPr>
            <w:noProof/>
            <w:webHidden/>
          </w:rPr>
          <w:fldChar w:fldCharType="begin"/>
        </w:r>
        <w:r>
          <w:rPr>
            <w:noProof/>
            <w:webHidden/>
          </w:rPr>
          <w:instrText xml:space="preserve"> PAGEREF _Toc30768681 \h </w:instrText>
        </w:r>
        <w:r>
          <w:rPr>
            <w:noProof/>
            <w:webHidden/>
          </w:rPr>
        </w:r>
        <w:r>
          <w:rPr>
            <w:noProof/>
            <w:webHidden/>
          </w:rPr>
          <w:fldChar w:fldCharType="separate"/>
        </w:r>
        <w:r>
          <w:rPr>
            <w:noProof/>
            <w:webHidden/>
          </w:rPr>
          <w:t>5</w:t>
        </w:r>
        <w:r>
          <w:rPr>
            <w:noProof/>
            <w:webHidden/>
          </w:rPr>
          <w:fldChar w:fldCharType="end"/>
        </w:r>
      </w:hyperlink>
    </w:p>
    <w:p w:rsidR="008E4405" w:rsidRDefault="008E4405">
      <w:pPr>
        <w:pStyle w:val="TOC1"/>
        <w:rPr>
          <w:rFonts w:asciiTheme="minorHAnsi" w:eastAsiaTheme="minorEastAsia" w:hAnsiTheme="minorHAnsi"/>
          <w:noProof/>
          <w:sz w:val="22"/>
          <w:szCs w:val="22"/>
        </w:rPr>
      </w:pPr>
      <w:hyperlink w:anchor="_Toc30768682" w:history="1">
        <w:r w:rsidRPr="0007633F">
          <w:rPr>
            <w:rStyle w:val="Hyperlink"/>
            <w:noProof/>
          </w:rPr>
          <w:t>8.</w:t>
        </w:r>
        <w:r>
          <w:rPr>
            <w:rFonts w:asciiTheme="minorHAnsi" w:eastAsiaTheme="minorEastAsia" w:hAnsiTheme="minorHAnsi"/>
            <w:noProof/>
            <w:sz w:val="22"/>
            <w:szCs w:val="22"/>
          </w:rPr>
          <w:tab/>
        </w:r>
        <w:r w:rsidRPr="0007633F">
          <w:rPr>
            <w:rStyle w:val="Hyperlink"/>
            <w:noProof/>
          </w:rPr>
          <w:t>Cleaning Parapets, Item 509.9050.S.</w:t>
        </w:r>
        <w:r>
          <w:rPr>
            <w:noProof/>
            <w:webHidden/>
          </w:rPr>
          <w:tab/>
        </w:r>
        <w:r>
          <w:rPr>
            <w:noProof/>
            <w:webHidden/>
          </w:rPr>
          <w:fldChar w:fldCharType="begin"/>
        </w:r>
        <w:r>
          <w:rPr>
            <w:noProof/>
            <w:webHidden/>
          </w:rPr>
          <w:instrText xml:space="preserve"> PAGEREF _Toc30768682 \h </w:instrText>
        </w:r>
        <w:r>
          <w:rPr>
            <w:noProof/>
            <w:webHidden/>
          </w:rPr>
        </w:r>
        <w:r>
          <w:rPr>
            <w:noProof/>
            <w:webHidden/>
          </w:rPr>
          <w:fldChar w:fldCharType="separate"/>
        </w:r>
        <w:r>
          <w:rPr>
            <w:noProof/>
            <w:webHidden/>
          </w:rPr>
          <w:t>5</w:t>
        </w:r>
        <w:r>
          <w:rPr>
            <w:noProof/>
            <w:webHidden/>
          </w:rPr>
          <w:fldChar w:fldCharType="end"/>
        </w:r>
      </w:hyperlink>
    </w:p>
    <w:p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rsidR="00323052" w:rsidRPr="00EA080F" w:rsidRDefault="00BE2267" w:rsidP="00053AD8">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027F90">
        <w:rPr>
          <w:rFonts w:cs="Arial"/>
          <w:b/>
          <w:sz w:val="22"/>
        </w:rPr>
        <w:t>November 21</w:t>
      </w:r>
      <w:r w:rsidR="004F05C1">
        <w:rPr>
          <w:rFonts w:cs="Arial"/>
          <w:b/>
          <w:sz w:val="22"/>
        </w:rPr>
        <w:t>, 201</w:t>
      </w:r>
      <w:r w:rsidR="004E2D95">
        <w:rPr>
          <w:rFonts w:cs="Arial"/>
          <w:b/>
          <w:sz w:val="22"/>
        </w:rPr>
        <w:t>9</w:t>
      </w:r>
    </w:p>
    <w:p w:rsidR="00323052" w:rsidRPr="00EA080F" w:rsidRDefault="00BE2267">
      <w:pPr>
        <w:jc w:val="center"/>
        <w:rPr>
          <w:rFonts w:cs="Arial"/>
          <w:b/>
          <w:sz w:val="22"/>
        </w:rPr>
      </w:pPr>
      <w:r w:rsidRPr="00EA080F">
        <w:rPr>
          <w:rFonts w:cs="Arial"/>
          <w:b/>
          <w:sz w:val="22"/>
        </w:rPr>
        <w:t>SPECIAL PROVISIONS</w:t>
      </w:r>
    </w:p>
    <w:p w:rsidR="00323052" w:rsidRPr="003A37E8" w:rsidRDefault="00BE2267" w:rsidP="003A37E8">
      <w:pPr>
        <w:pStyle w:val="1Heading1"/>
      </w:pPr>
      <w:bookmarkStart w:id="1" w:name="_Toc30768675"/>
      <w:r w:rsidRPr="003A37E8">
        <w:t>General.</w:t>
      </w:r>
      <w:bookmarkEnd w:id="1"/>
    </w:p>
    <w:p w:rsidR="00323052" w:rsidRDefault="00BE2267" w:rsidP="00A57FBE">
      <w:pPr>
        <w:pStyle w:val="spParagraph"/>
      </w:pPr>
      <w:r>
        <w:t xml:space="preserve">Perform the work under this construction contract for Project </w:t>
      </w:r>
      <w:r w:rsidR="00A42D44">
        <w:t xml:space="preserve">2240-03-74, </w:t>
      </w:r>
      <w:proofErr w:type="spellStart"/>
      <w:r w:rsidR="00A42D44">
        <w:t>Milw</w:t>
      </w:r>
      <w:proofErr w:type="spellEnd"/>
      <w:r w:rsidR="00A42D44">
        <w:t xml:space="preserve"> Ave Village of Rochester; Bridges B-51-78 &amp; 79 in Racine County</w:t>
      </w:r>
      <w:r>
        <w:t>, Wisconsin as the plans show and execute the work as specified in the State of Wisconsin, Department of Transportation, Standard Specifications for Highway and Structure Construction, 20</w:t>
      </w:r>
      <w:r w:rsidR="003D7523">
        <w:t>20</w:t>
      </w:r>
      <w:r>
        <w:t xml:space="preserve"> Edition, as published by the department, and these special provisions.</w:t>
      </w:r>
    </w:p>
    <w:p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9D499B" w:rsidRPr="009D499B" w:rsidRDefault="00EB38E2" w:rsidP="009D499B">
      <w:pPr>
        <w:pStyle w:val="spVersion"/>
      </w:pPr>
      <w:r>
        <w:t>100-005 (201</w:t>
      </w:r>
      <w:r w:rsidR="005A7414">
        <w:t>9</w:t>
      </w:r>
      <w:r w:rsidR="00027F90">
        <w:t>1121</w:t>
      </w:r>
      <w:r w:rsidR="00BE2267">
        <w:t>)</w:t>
      </w:r>
    </w:p>
    <w:p w:rsidR="00323052" w:rsidRPr="003A37E8" w:rsidRDefault="00BE2267" w:rsidP="003A37E8">
      <w:pPr>
        <w:pStyle w:val="1Heading1"/>
      </w:pPr>
      <w:bookmarkStart w:id="2" w:name="_Toc30768676"/>
      <w:r w:rsidRPr="003A37E8">
        <w:t>Scope of Work.</w:t>
      </w:r>
      <w:bookmarkEnd w:id="2"/>
      <w:r w:rsidR="009D499B">
        <w:t xml:space="preserve"> </w:t>
      </w:r>
    </w:p>
    <w:p w:rsidR="00323052" w:rsidRDefault="00BE2267" w:rsidP="00A57FBE">
      <w:pPr>
        <w:pStyle w:val="spParagraph"/>
      </w:pPr>
      <w:r>
        <w:t xml:space="preserve">The work under this contract shall consist of </w:t>
      </w:r>
      <w:r w:rsidR="00A42D44">
        <w:t>bridge rehabilitation, excavation common, borrow, guardrail, removing asphaltic surface milling, HMA pavement, base aggregate dense, erosion control, and restoration</w:t>
      </w:r>
      <w:r>
        <w:t xml:space="preserve"> and all incidental items necessary to complete the work as shown on the plans and included in the proposal and contract.</w:t>
      </w:r>
    </w:p>
    <w:p w:rsidR="00323052" w:rsidRDefault="00BE2267" w:rsidP="0059732A">
      <w:pPr>
        <w:pStyle w:val="spVersion"/>
      </w:pPr>
      <w:r>
        <w:t>104-005 (20090901)</w:t>
      </w:r>
    </w:p>
    <w:p w:rsidR="00323052" w:rsidRPr="00EA080F" w:rsidRDefault="00BE2267" w:rsidP="00EA080F">
      <w:pPr>
        <w:pStyle w:val="1Heading1"/>
      </w:pPr>
      <w:bookmarkStart w:id="3" w:name="_Toc30768677"/>
      <w:r w:rsidRPr="00EA080F">
        <w:t>Prosecution and Progress.</w:t>
      </w:r>
      <w:bookmarkEnd w:id="3"/>
    </w:p>
    <w:p w:rsidR="00581A9A" w:rsidRDefault="00BE2267" w:rsidP="00466B63">
      <w:pPr>
        <w:pStyle w:val="spParagraph"/>
      </w:pPr>
      <w:r w:rsidRPr="00C158F5">
        <w:t>Begin work within ten calendar days after the engineer issues a written notice to do so.</w:t>
      </w:r>
    </w:p>
    <w:p w:rsidR="00581A9A" w:rsidRPr="0037222D" w:rsidRDefault="00581A9A" w:rsidP="00FC0F7C">
      <w:pPr>
        <w:pStyle w:val="spParagraph"/>
        <w:rPr>
          <w:rStyle w:val="spHeading"/>
        </w:rPr>
      </w:pPr>
      <w:r w:rsidRPr="0037222D">
        <w:rPr>
          <w:rStyle w:val="spHeading"/>
        </w:rPr>
        <w:t>Fish Spawning</w:t>
      </w:r>
    </w:p>
    <w:p w:rsidR="00581A9A" w:rsidRPr="0037222D" w:rsidRDefault="00581A9A" w:rsidP="00FC0F7C">
      <w:pPr>
        <w:pStyle w:val="spParagraph"/>
      </w:pPr>
      <w:r w:rsidRPr="0037222D">
        <w:t xml:space="preserve">There shall be no instream disturbance of </w:t>
      </w:r>
      <w:r w:rsidR="0095331A">
        <w:t>the Fox River or the Wind Lake Canal</w:t>
      </w:r>
      <w:r w:rsidRPr="0037222D">
        <w:t xml:space="preserve"> as a result of construction activity under or for this contract, </w:t>
      </w:r>
      <w:sdt>
        <w:sdtPr>
          <w:id w:val="64095942"/>
          <w:placeholder>
            <w:docPart w:val="B75575A777AA472F904667F9CB2158FD"/>
          </w:placeholder>
          <w:comboBox>
            <w:listItem w:value="Choose an item."/>
            <w:listItem w:displayText="from _____ to _____ both dates inclusive" w:value="from _____ to _____ both dates inclusive"/>
            <w:listItem w:displayText="prior to ______ " w:value="prior to ______ "/>
            <w:listItem w:displayText="after _____ " w:value="after _____ "/>
          </w:comboBox>
        </w:sdtPr>
        <w:sdtEndPr/>
        <w:sdtContent>
          <w:r w:rsidR="0095331A">
            <w:t>from March 1st to June 15th both dates inclusive</w:t>
          </w:r>
        </w:sdtContent>
      </w:sdt>
      <w:r w:rsidRPr="0037222D">
        <w:t xml:space="preserve">, in order to avoid adverse impacts upon the spawning of </w:t>
      </w:r>
      <w:bookmarkStart w:id="4" w:name="Text5"/>
      <w:r w:rsidRPr="0037222D">
        <w:fldChar w:fldCharType="begin">
          <w:ffData>
            <w:name w:val="Text5"/>
            <w:enabled/>
            <w:calcOnExit w:val="0"/>
            <w:textInput>
              <w:default w:val="fish species"/>
            </w:textInput>
          </w:ffData>
        </w:fldChar>
      </w:r>
      <w:r w:rsidRPr="0037222D">
        <w:instrText xml:space="preserve"> FORMTEXT </w:instrText>
      </w:r>
      <w:r w:rsidRPr="0037222D">
        <w:fldChar w:fldCharType="separate"/>
      </w:r>
      <w:r>
        <w:rPr>
          <w:noProof/>
        </w:rPr>
        <w:t>fish species</w:t>
      </w:r>
      <w:r w:rsidRPr="0037222D">
        <w:fldChar w:fldCharType="end"/>
      </w:r>
      <w:bookmarkEnd w:id="4"/>
      <w:r w:rsidRPr="0037222D">
        <w:t>.</w:t>
      </w:r>
    </w:p>
    <w:p w:rsidR="00581A9A" w:rsidRPr="0037222D" w:rsidRDefault="00581A9A" w:rsidP="00FC0F7C">
      <w:pPr>
        <w:pStyle w:val="spParagraph"/>
      </w:pPr>
      <w:r w:rsidRPr="0037222D">
        <w:t>Any change to this limitation will require submitting a written request by the contractor to the engineer, subsequent review and concurrence by the Department of Natural Resources in the request, and final approval by the engineer. The approval will include all conditions to the request as mutually agreed upon by WisDOT and DNR.</w:t>
      </w:r>
    </w:p>
    <w:p w:rsidR="00581A9A" w:rsidRDefault="00581A9A" w:rsidP="0095331A">
      <w:pPr>
        <w:pStyle w:val="spVersion"/>
      </w:pPr>
      <w:r>
        <w:t>0036 (20090901)</w:t>
      </w:r>
    </w:p>
    <w:p w:rsidR="008D2367" w:rsidRPr="00BD421B" w:rsidRDefault="008D2367" w:rsidP="008D2367">
      <w:pPr>
        <w:pStyle w:val="1Heading1"/>
        <w:numPr>
          <w:ilvl w:val="0"/>
          <w:numId w:val="1"/>
        </w:numPr>
        <w:ind w:left="0" w:hanging="720"/>
      </w:pPr>
      <w:bookmarkStart w:id="5" w:name="_Toc30768678"/>
      <w:r w:rsidRPr="00BD421B">
        <w:t>Utilities.</w:t>
      </w:r>
      <w:bookmarkEnd w:id="5"/>
    </w:p>
    <w:p w:rsidR="008D2367" w:rsidRPr="00234DD3" w:rsidRDefault="008D2367" w:rsidP="00D54782">
      <w:pPr>
        <w:pStyle w:val="spParagraph"/>
      </w:pPr>
      <w:r w:rsidRPr="00234DD3">
        <w:t>This contract comes under the provision of Administrative Rule Trans 220.</w:t>
      </w:r>
    </w:p>
    <w:p w:rsidR="008D2367" w:rsidRDefault="008D2367" w:rsidP="008D2367">
      <w:pPr>
        <w:pStyle w:val="spVersion"/>
      </w:pPr>
      <w:proofErr w:type="gramStart"/>
      <w:r>
        <w:t>stp-107-065</w:t>
      </w:r>
      <w:proofErr w:type="gramEnd"/>
      <w:r>
        <w:t xml:space="preserve"> (20080501)</w:t>
      </w:r>
    </w:p>
    <w:p w:rsidR="00F238AB" w:rsidRDefault="00F238AB" w:rsidP="00F238AB">
      <w:r>
        <w:t>There are utility facilities within the construction limits of this project. Coordinate construction activities with a call to Diggers Hotline or a direct call to the utilities for the underground facilities in the area, as required per statutes. Take all required precautions when working within 18 inches of underground utilities. Use caution to maintain the integrity of underground utilities and maintain OSHA code clearances from overhead facilities at all times.</w:t>
      </w:r>
    </w:p>
    <w:p w:rsidR="00296CCB" w:rsidRDefault="00F238AB" w:rsidP="00F238AB">
      <w:pPr>
        <w:pStyle w:val="spParagraph"/>
      </w:pPr>
      <w:r>
        <w:rPr>
          <w:b/>
        </w:rPr>
        <w:t>ATC</w:t>
      </w:r>
      <w:r w:rsidR="00296CCB">
        <w:rPr>
          <w:b/>
        </w:rPr>
        <w:t xml:space="preserve"> Management Inc</w:t>
      </w:r>
      <w:r>
        <w:rPr>
          <w:b/>
        </w:rPr>
        <w:t xml:space="preserve"> (electricity) </w:t>
      </w:r>
      <w:r>
        <w:t xml:space="preserve">has overhead electrical lines along the east side of </w:t>
      </w:r>
      <w:r w:rsidR="00296CCB">
        <w:t xml:space="preserve">STH 36 </w:t>
      </w:r>
      <w:r w:rsidR="001F62E9">
        <w:t xml:space="preserve">northbound </w:t>
      </w:r>
      <w:r w:rsidR="00296CCB">
        <w:t>south of bridge B-51-78</w:t>
      </w:r>
      <w:r>
        <w:t xml:space="preserve">. </w:t>
      </w:r>
      <w:r w:rsidR="00296CCB">
        <w:t xml:space="preserve">The overhead line crosses to the west side of STH 36 </w:t>
      </w:r>
      <w:r w:rsidR="001F62E9">
        <w:t xml:space="preserve">southbound </w:t>
      </w:r>
      <w:r w:rsidR="00296CCB">
        <w:t xml:space="preserve">near the southern project limits. </w:t>
      </w:r>
    </w:p>
    <w:p w:rsidR="00F238AB" w:rsidRDefault="00296CCB" w:rsidP="00F238AB">
      <w:pPr>
        <w:pStyle w:val="spParagraph"/>
      </w:pPr>
      <w:r>
        <w:t>N</w:t>
      </w:r>
      <w:r w:rsidR="00F238AB">
        <w:t>o conflicts are anticipated.</w:t>
      </w:r>
    </w:p>
    <w:p w:rsidR="008D2367" w:rsidRDefault="00F238AB" w:rsidP="008D2367">
      <w:pPr>
        <w:pStyle w:val="spParagraph"/>
      </w:pPr>
      <w:r>
        <w:t xml:space="preserve">The field contact for this project is </w:t>
      </w:r>
      <w:r w:rsidR="00296CCB">
        <w:t>Chris Dailey</w:t>
      </w:r>
      <w:r>
        <w:t>, (</w:t>
      </w:r>
      <w:r w:rsidR="00296CCB">
        <w:t>262</w:t>
      </w:r>
      <w:r>
        <w:t xml:space="preserve">) </w:t>
      </w:r>
      <w:r w:rsidR="00296CCB">
        <w:t>506</w:t>
      </w:r>
      <w:r>
        <w:t>-6</w:t>
      </w:r>
      <w:r w:rsidR="00296CCB">
        <w:t>884</w:t>
      </w:r>
      <w:r>
        <w:t xml:space="preserve">, </w:t>
      </w:r>
      <w:hyperlink r:id="rId12" w:history="1">
        <w:r w:rsidR="00296CCB" w:rsidRPr="005F3EB0">
          <w:rPr>
            <w:rStyle w:val="Hyperlink"/>
          </w:rPr>
          <w:t>cdailey@atcllc.com</w:t>
        </w:r>
      </w:hyperlink>
      <w:r>
        <w:t>.</w:t>
      </w:r>
    </w:p>
    <w:p w:rsidR="00296CCB" w:rsidRDefault="00296CCB" w:rsidP="008D2367">
      <w:pPr>
        <w:pStyle w:val="spParagraph"/>
      </w:pPr>
      <w:r w:rsidRPr="001F62E9">
        <w:rPr>
          <w:b/>
        </w:rPr>
        <w:t>AT&amp;T Wisconsin</w:t>
      </w:r>
      <w:r w:rsidR="002F139E" w:rsidRPr="001F62E9">
        <w:rPr>
          <w:b/>
        </w:rPr>
        <w:t xml:space="preserve"> (communications)</w:t>
      </w:r>
      <w:r w:rsidR="001F62E9">
        <w:t xml:space="preserve"> has underground conduit along the west side of STH 36 southbound at both bridges.</w:t>
      </w:r>
    </w:p>
    <w:p w:rsidR="001F62E9" w:rsidRDefault="001F62E9" w:rsidP="008D2367">
      <w:pPr>
        <w:pStyle w:val="spParagraph"/>
      </w:pPr>
      <w:r>
        <w:t>No conflicts are anticipated.</w:t>
      </w:r>
    </w:p>
    <w:p w:rsidR="001F62E9" w:rsidRDefault="001F62E9" w:rsidP="008D2367">
      <w:pPr>
        <w:pStyle w:val="spParagraph"/>
      </w:pPr>
      <w:r>
        <w:t xml:space="preserve">The field contact for this project is Matt </w:t>
      </w:r>
      <w:proofErr w:type="spellStart"/>
      <w:r>
        <w:t>Dinnauer</w:t>
      </w:r>
      <w:proofErr w:type="spellEnd"/>
      <w:r>
        <w:t xml:space="preserve">, (262) 896-7690, </w:t>
      </w:r>
      <w:hyperlink r:id="rId13" w:history="1">
        <w:r w:rsidRPr="005F3EB0">
          <w:rPr>
            <w:rStyle w:val="Hyperlink"/>
          </w:rPr>
          <w:t>md9542@att.com</w:t>
        </w:r>
      </w:hyperlink>
      <w:r>
        <w:t>.</w:t>
      </w:r>
    </w:p>
    <w:p w:rsidR="001F62E9" w:rsidRDefault="001F62E9" w:rsidP="008D2367">
      <w:pPr>
        <w:pStyle w:val="spParagraph"/>
      </w:pPr>
      <w:r w:rsidRPr="001F62E9">
        <w:rPr>
          <w:b/>
        </w:rPr>
        <w:t xml:space="preserve">TDS </w:t>
      </w:r>
      <w:proofErr w:type="spellStart"/>
      <w:r w:rsidRPr="001F62E9">
        <w:rPr>
          <w:b/>
        </w:rPr>
        <w:t>Metrocom</w:t>
      </w:r>
      <w:proofErr w:type="spellEnd"/>
      <w:r w:rsidRPr="001F62E9">
        <w:rPr>
          <w:b/>
        </w:rPr>
        <w:t xml:space="preserve"> (communications)</w:t>
      </w:r>
      <w:r>
        <w:t xml:space="preserve"> has underground conduit along the west side of STH 36 southbound at both bridges.</w:t>
      </w:r>
    </w:p>
    <w:p w:rsidR="001F62E9" w:rsidRDefault="001F62E9" w:rsidP="008D2367">
      <w:pPr>
        <w:pStyle w:val="spParagraph"/>
      </w:pPr>
      <w:r>
        <w:lastRenderedPageBreak/>
        <w:t>No conflicts are anticipated.</w:t>
      </w:r>
    </w:p>
    <w:p w:rsidR="001F62E9" w:rsidRDefault="001F62E9" w:rsidP="008D2367">
      <w:pPr>
        <w:pStyle w:val="spParagraph"/>
      </w:pPr>
      <w:r>
        <w:t xml:space="preserve">The field contact for this project is Erik Borgen, (608) 664-4438, </w:t>
      </w:r>
      <w:hyperlink r:id="rId14" w:history="1">
        <w:r w:rsidRPr="005F3EB0">
          <w:rPr>
            <w:rStyle w:val="Hyperlink"/>
          </w:rPr>
          <w:t>erik.borgen@tdstelecom.com</w:t>
        </w:r>
      </w:hyperlink>
      <w:r>
        <w:t>.</w:t>
      </w:r>
    </w:p>
    <w:p w:rsidR="001F62E9" w:rsidRDefault="001F62E9" w:rsidP="001F62E9">
      <w:pPr>
        <w:pStyle w:val="spParagraph"/>
      </w:pPr>
      <w:r w:rsidRPr="001F62E9">
        <w:rPr>
          <w:b/>
        </w:rPr>
        <w:t>TDS Telecom (communications)</w:t>
      </w:r>
      <w:r>
        <w:t xml:space="preserve"> has underground conduit along the west side of STH 36 southbound at both bridges.</w:t>
      </w:r>
    </w:p>
    <w:p w:rsidR="001F62E9" w:rsidRDefault="001F62E9" w:rsidP="001F62E9">
      <w:pPr>
        <w:pStyle w:val="spParagraph"/>
      </w:pPr>
      <w:r>
        <w:t>No conflicts are anticipated.</w:t>
      </w:r>
    </w:p>
    <w:p w:rsidR="001F62E9" w:rsidRDefault="001F62E9" w:rsidP="001F62E9">
      <w:pPr>
        <w:pStyle w:val="spParagraph"/>
      </w:pPr>
      <w:r>
        <w:t xml:space="preserve">The field contact for this project is Erik Borgen, (608) 664-4438, </w:t>
      </w:r>
      <w:hyperlink r:id="rId15" w:history="1">
        <w:r w:rsidRPr="005F3EB0">
          <w:rPr>
            <w:rStyle w:val="Hyperlink"/>
          </w:rPr>
          <w:t>erik.borgen@tdstelecom.com</w:t>
        </w:r>
      </w:hyperlink>
      <w:r>
        <w:t>.</w:t>
      </w:r>
    </w:p>
    <w:p w:rsidR="001F62E9" w:rsidRDefault="001F62E9" w:rsidP="008D2367">
      <w:pPr>
        <w:pStyle w:val="spParagraph"/>
      </w:pPr>
      <w:r w:rsidRPr="00BD421B">
        <w:rPr>
          <w:b/>
        </w:rPr>
        <w:t>We Energies (gas)</w:t>
      </w:r>
      <w:r>
        <w:t xml:space="preserve"> has underground facilities</w:t>
      </w:r>
      <w:r w:rsidR="00BD421B">
        <w:t xml:space="preserve"> along the west side of STH 36 southbound near bridge B-51-79.</w:t>
      </w:r>
    </w:p>
    <w:p w:rsidR="00BD421B" w:rsidRDefault="00BD421B" w:rsidP="008D2367">
      <w:pPr>
        <w:pStyle w:val="spParagraph"/>
      </w:pPr>
      <w:r>
        <w:t>No conflicts are anticipated.</w:t>
      </w:r>
    </w:p>
    <w:p w:rsidR="00BD421B" w:rsidRDefault="00BD421B" w:rsidP="008D2367">
      <w:pPr>
        <w:pStyle w:val="spParagraph"/>
      </w:pPr>
      <w:r>
        <w:t xml:space="preserve">The field contact for this project is Scott Holstein, (262) 763-1084, </w:t>
      </w:r>
      <w:hyperlink r:id="rId16" w:history="1">
        <w:r w:rsidRPr="005F3EB0">
          <w:rPr>
            <w:rStyle w:val="Hyperlink"/>
          </w:rPr>
          <w:t>scott.holstein@we-energies.com</w:t>
        </w:r>
      </w:hyperlink>
      <w:r>
        <w:t>.</w:t>
      </w:r>
    </w:p>
    <w:p w:rsidR="00BD421B" w:rsidRDefault="00BD421B" w:rsidP="00BD421B">
      <w:pPr>
        <w:pStyle w:val="spParagraph"/>
      </w:pPr>
      <w:r w:rsidRPr="00BD421B">
        <w:rPr>
          <w:b/>
        </w:rPr>
        <w:t>We Energies (</w:t>
      </w:r>
      <w:r>
        <w:rPr>
          <w:b/>
        </w:rPr>
        <w:t>electric</w:t>
      </w:r>
      <w:r w:rsidRPr="00BD421B">
        <w:rPr>
          <w:b/>
        </w:rPr>
        <w:t>)</w:t>
      </w:r>
      <w:r>
        <w:t xml:space="preserve"> has overhead facilities along the east side of STH 36 northbound at both bridges.</w:t>
      </w:r>
    </w:p>
    <w:p w:rsidR="00BD421B" w:rsidRDefault="00BD421B" w:rsidP="00BD421B">
      <w:pPr>
        <w:pStyle w:val="spParagraph"/>
      </w:pPr>
      <w:r>
        <w:t>No conflicts are anticipated.</w:t>
      </w:r>
    </w:p>
    <w:p w:rsidR="00BD421B" w:rsidRDefault="00BD421B" w:rsidP="008D2367">
      <w:pPr>
        <w:pStyle w:val="spParagraph"/>
      </w:pPr>
      <w:r>
        <w:t xml:space="preserve">The field contact for this project is Adam Psicihulis, (262) 763-1011, </w:t>
      </w:r>
      <w:hyperlink r:id="rId17" w:history="1">
        <w:r w:rsidRPr="005F3EB0">
          <w:rPr>
            <w:rStyle w:val="Hyperlink"/>
          </w:rPr>
          <w:t>adam.psicihulis@we-energies.com</w:t>
        </w:r>
      </w:hyperlink>
      <w:r>
        <w:t>.</w:t>
      </w:r>
    </w:p>
    <w:p w:rsidR="00581A9A" w:rsidRPr="008B0762" w:rsidRDefault="00581A9A" w:rsidP="00581A9A">
      <w:pPr>
        <w:pStyle w:val="1Heading1"/>
        <w:numPr>
          <w:ilvl w:val="0"/>
          <w:numId w:val="1"/>
        </w:numPr>
        <w:ind w:left="0" w:hanging="720"/>
      </w:pPr>
      <w:bookmarkStart w:id="6" w:name="_Toc30768679"/>
      <w:r w:rsidRPr="008B0762">
        <w:t>Environmental Protection, Aquatic Exotic Species Control.</w:t>
      </w:r>
      <w:bookmarkEnd w:id="6"/>
    </w:p>
    <w:p w:rsidR="00581A9A" w:rsidRDefault="00581A9A" w:rsidP="00AE0AB6">
      <w:pPr>
        <w:pStyle w:val="spParagraph"/>
      </w:pPr>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581A9A" w:rsidRDefault="00581A9A" w:rsidP="00AE0AB6">
      <w:pPr>
        <w:pStyle w:val="spParagraph"/>
      </w:pPr>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581A9A" w:rsidRDefault="00581A9A" w:rsidP="00AE0AB6">
      <w:pPr>
        <w:pStyle w:val="spParagraph"/>
      </w:pPr>
      <w:r>
        <w:t>Ensure that all equipment that has been in contact with waters of the state, or with infested or potentially infested waters, has been decontaminated for aquatic plant materials and zebra mussels before being used in other waters of the state. Before using equipment on this project, thoroughly disinfect all equipment that has come into contact with potentially infested waters. Guidelines from the Wisconsin Department of Natural Resources for disinfection are available at:</w:t>
      </w:r>
    </w:p>
    <w:p w:rsidR="00581A9A" w:rsidRPr="006E5990" w:rsidRDefault="008E4405" w:rsidP="00AE0AB6">
      <w:pPr>
        <w:pStyle w:val="spParagraph"/>
        <w:spacing w:before="60" w:after="60"/>
        <w:jc w:val="center"/>
        <w:rPr>
          <w:rFonts w:cs="Arial"/>
        </w:rPr>
      </w:pPr>
      <w:hyperlink r:id="rId18" w:history="1">
        <w:r w:rsidR="00581A9A" w:rsidRPr="006E5990">
          <w:rPr>
            <w:rStyle w:val="Hyperlink"/>
            <w:rFonts w:cs="Arial"/>
          </w:rPr>
          <w:t>http://dnr.wi.gov/topic/invasives/disinfection.html</w:t>
        </w:r>
      </w:hyperlink>
    </w:p>
    <w:p w:rsidR="00581A9A" w:rsidRDefault="00581A9A" w:rsidP="00AE0AB6">
      <w:pPr>
        <w:pStyle w:val="spParagraph"/>
      </w:pPr>
      <w:r>
        <w:t>Use the following inspection and removal procedures:</w:t>
      </w:r>
    </w:p>
    <w:p w:rsidR="00581A9A" w:rsidRDefault="00581A9A" w:rsidP="00AE0AB6">
      <w:pPr>
        <w:pStyle w:val="spNumList1"/>
      </w:pPr>
      <w:r w:rsidRPr="00857B42">
        <w:t>1.</w:t>
      </w:r>
      <w:r w:rsidRPr="00857B42">
        <w:tab/>
      </w:r>
      <w:r>
        <w:t>Before leaving the contaminated site, wash machinery and ensure that the machinery is free of all soil and other substances that could possibly contain exotic invasive species;</w:t>
      </w:r>
    </w:p>
    <w:p w:rsidR="00581A9A" w:rsidRDefault="00581A9A" w:rsidP="00AE0AB6">
      <w:pPr>
        <w:pStyle w:val="spNumList1"/>
      </w:pPr>
      <w:r w:rsidRPr="00857B42">
        <w:t>2.</w:t>
      </w:r>
      <w:r w:rsidRPr="00857B42">
        <w:tab/>
      </w:r>
      <w:r>
        <w:t>Drain all water from boats, trailers, bilges, live wells, coolers, bait buckets, engine compartments, and any other area where water may be trapped;</w:t>
      </w:r>
    </w:p>
    <w:p w:rsidR="00581A9A" w:rsidRDefault="00581A9A" w:rsidP="00AE0AB6">
      <w:pPr>
        <w:pStyle w:val="spNumList1"/>
      </w:pPr>
      <w:r w:rsidRPr="00857B42">
        <w:t>3.</w:t>
      </w:r>
      <w:r w:rsidRPr="00857B42">
        <w:tab/>
      </w:r>
      <w:r>
        <w:t>Inspect boat hulls, propellers, trailers and other surfaces. Scrape off any attached mussels, remove any aquatic plant materials (fragments, stems, leaves, seeds, or roots), and dispose of removed mussels and plant materials in a garbage can before leaving the area or invested waters; and</w:t>
      </w:r>
    </w:p>
    <w:p w:rsidR="00581A9A" w:rsidRDefault="00581A9A" w:rsidP="00AE0AB6">
      <w:pPr>
        <w:pStyle w:val="spNumList1"/>
      </w:pPr>
      <w:r w:rsidRPr="00857B42">
        <w:t>4.</w:t>
      </w:r>
      <w:r w:rsidRPr="00857B42">
        <w:tab/>
      </w:r>
      <w:r>
        <w:t>Disinfect your boat, equipment and gear by either:</w:t>
      </w:r>
    </w:p>
    <w:p w:rsidR="00581A9A" w:rsidRPr="000C400B" w:rsidRDefault="00581A9A" w:rsidP="00AE0AB6">
      <w:pPr>
        <w:pStyle w:val="spNumList2"/>
      </w:pPr>
      <w:r w:rsidRPr="000C400B">
        <w:t>4.1.</w:t>
      </w:r>
      <w:r w:rsidRPr="000C400B">
        <w:tab/>
        <w:t>Washing with ~212 F water (steam clean), or</w:t>
      </w:r>
    </w:p>
    <w:p w:rsidR="00581A9A" w:rsidRPr="000C400B" w:rsidRDefault="00581A9A" w:rsidP="00AE0AB6">
      <w:pPr>
        <w:pStyle w:val="spNumList2"/>
      </w:pPr>
      <w:r w:rsidRPr="000C400B">
        <w:t>4.2.</w:t>
      </w:r>
      <w:r w:rsidRPr="000C400B">
        <w:tab/>
        <w:t>Drying thoroughly for five days after cleaning with soap and water and/or high pressure water, or</w:t>
      </w:r>
    </w:p>
    <w:p w:rsidR="00581A9A" w:rsidRPr="000C400B" w:rsidRDefault="00581A9A" w:rsidP="00AE0AB6">
      <w:pPr>
        <w:pStyle w:val="spNumList2"/>
      </w:pPr>
      <w:r w:rsidRPr="000C400B">
        <w:t>4.3.</w:t>
      </w:r>
      <w:r w:rsidRPr="000C400B">
        <w:tab/>
        <w:t xml:space="preserve">Disinfecting with either 200 ppm (0.5 </w:t>
      </w:r>
      <w:proofErr w:type="spellStart"/>
      <w:r w:rsidRPr="000C400B">
        <w:t>oz</w:t>
      </w:r>
      <w:proofErr w:type="spellEnd"/>
      <w:r w:rsidRPr="000C400B">
        <w:t xml:space="preserve"> per gallon or 1 Tablespoon per gallon) Chlorine for 10-minute contact time or 1:100 solution (38 grams per gallon) of </w:t>
      </w:r>
      <w:proofErr w:type="spellStart"/>
      <w:r w:rsidRPr="000C400B">
        <w:t>Virkon</w:t>
      </w:r>
      <w:proofErr w:type="spellEnd"/>
      <w:r w:rsidRPr="000C400B">
        <w:t xml:space="preserve"> Aquatic for 20- to 30-minute contact time. Note: </w:t>
      </w:r>
      <w:proofErr w:type="spellStart"/>
      <w:r w:rsidRPr="000C400B">
        <w:t>Virkon</w:t>
      </w:r>
      <w:proofErr w:type="spellEnd"/>
      <w:r w:rsidRPr="000C400B">
        <w:t xml:space="preserve"> is not registered to kill zebra mussel </w:t>
      </w:r>
      <w:proofErr w:type="spellStart"/>
      <w:r w:rsidRPr="000C400B">
        <w:t>veligers</w:t>
      </w:r>
      <w:proofErr w:type="spellEnd"/>
      <w:r w:rsidRPr="000C400B">
        <w:t xml:space="preserve"> nor invertebrates like spiny water flea. Therefore this disinfect should be used in conjunction with a hot water (&gt;104º F) application.</w:t>
      </w:r>
    </w:p>
    <w:p w:rsidR="00581A9A" w:rsidRDefault="00581A9A" w:rsidP="00AE0AB6">
      <w:pPr>
        <w:pStyle w:val="spParagraph"/>
      </w:pPr>
      <w:r>
        <w:t>Complete the inspection and removal procedure before equipment is brought to the project site and before the equipment leaves the project site.</w:t>
      </w:r>
    </w:p>
    <w:p w:rsidR="00581A9A" w:rsidRDefault="00581A9A" w:rsidP="00493ED9">
      <w:pPr>
        <w:pStyle w:val="spVersion"/>
      </w:pPr>
      <w:proofErr w:type="gramStart"/>
      <w:r>
        <w:t>stp-107-055</w:t>
      </w:r>
      <w:proofErr w:type="gramEnd"/>
      <w:r>
        <w:t xml:space="preserve"> (20130615)</w:t>
      </w:r>
    </w:p>
    <w:p w:rsidR="007434BB" w:rsidRPr="001E2C1D" w:rsidRDefault="007434BB" w:rsidP="007434BB">
      <w:pPr>
        <w:pStyle w:val="1Heading1"/>
      </w:pPr>
      <w:bookmarkStart w:id="7" w:name="_Toc30768680"/>
      <w:r w:rsidRPr="001E2C1D">
        <w:t>Erosion Control.</w:t>
      </w:r>
      <w:bookmarkEnd w:id="7"/>
    </w:p>
    <w:p w:rsidR="007434BB" w:rsidRPr="00A761FB" w:rsidRDefault="007434BB" w:rsidP="007434BB">
      <w:pPr>
        <w:pStyle w:val="spUndefined"/>
        <w:rPr>
          <w:i/>
        </w:rPr>
      </w:pPr>
      <w:r w:rsidRPr="00A761FB">
        <w:rPr>
          <w:i/>
        </w:rPr>
        <w:t>Supplement standard spec 107.20 with the following:</w:t>
      </w:r>
    </w:p>
    <w:p w:rsidR="007434BB" w:rsidRDefault="007434BB" w:rsidP="007434BB">
      <w:pPr>
        <w:pStyle w:val="spParagraph"/>
      </w:pPr>
      <w:r>
        <w:lastRenderedPageBreak/>
        <w:t>Erosion control best management practices (BMP’s) shown on the plans are at suggested locations. The actual locations will be determined by the contractor’s ECIP and by the engineer. Include dust control and each dewatering or by-pass (mechanical pumping) operation in the ECIP submittal. The ECIP will</w:t>
      </w:r>
      <w:r w:rsidRPr="009501CD">
        <w:t xml:space="preserve"> supplement informat</w:t>
      </w:r>
      <w:r>
        <w:t>ion shown on the plans and</w:t>
      </w:r>
      <w:r w:rsidRPr="009501CD">
        <w:t xml:space="preserve"> not reproduce it. The </w:t>
      </w:r>
      <w:r>
        <w:t>ECIP</w:t>
      </w:r>
      <w:r w:rsidRPr="009501CD">
        <w:t xml:space="preserve"> will identify how to implement the project’s erosion control plan.</w:t>
      </w:r>
      <w:r>
        <w:t xml:space="preserve"> ECIP will demonstrate </w:t>
      </w:r>
      <w:r w:rsidRPr="009501CD">
        <w:rPr>
          <w:spacing w:val="-3"/>
        </w:rPr>
        <w:t>timely and diligent</w:t>
      </w:r>
      <w:r>
        <w:rPr>
          <w:spacing w:val="-3"/>
        </w:rPr>
        <w:t>ly</w:t>
      </w:r>
      <w:r w:rsidRPr="009501CD">
        <w:rPr>
          <w:spacing w:val="-3"/>
        </w:rPr>
        <w:t xml:space="preserve"> </w:t>
      </w:r>
      <w:r>
        <w:rPr>
          <w:spacing w:val="-3"/>
        </w:rPr>
        <w:t xml:space="preserve">staged </w:t>
      </w:r>
      <w:r w:rsidRPr="009501CD">
        <w:rPr>
          <w:spacing w:val="-3"/>
        </w:rPr>
        <w:t xml:space="preserve">operations, continuing all construction operations methodically from the initial removals and topsoil stripping operations through the </w:t>
      </w:r>
      <w:r>
        <w:rPr>
          <w:spacing w:val="-3"/>
        </w:rPr>
        <w:t xml:space="preserve">subsequent grading, paving, </w:t>
      </w:r>
      <w:r w:rsidRPr="009501CD">
        <w:rPr>
          <w:spacing w:val="-3"/>
        </w:rPr>
        <w:t>re-</w:t>
      </w:r>
      <w:r>
        <w:rPr>
          <w:spacing w:val="-3"/>
        </w:rPr>
        <w:t xml:space="preserve">application of </w:t>
      </w:r>
      <w:r w:rsidRPr="009501CD">
        <w:rPr>
          <w:spacing w:val="-3"/>
        </w:rPr>
        <w:t>top soil</w:t>
      </w:r>
      <w:r>
        <w:rPr>
          <w:spacing w:val="-3"/>
        </w:rPr>
        <w:t>, and restoration of permanent vegetation</w:t>
      </w:r>
      <w:r w:rsidRPr="009501CD">
        <w:rPr>
          <w:spacing w:val="-3"/>
        </w:rPr>
        <w:t xml:space="preserve"> to minimize the period of exposure to possible erosion.</w:t>
      </w:r>
    </w:p>
    <w:p w:rsidR="007434BB" w:rsidRDefault="007434BB" w:rsidP="007434BB">
      <w:pPr>
        <w:pStyle w:val="spParagraph"/>
      </w:pPr>
      <w:r>
        <w:t xml:space="preserve">Provide the ECIP 14 </w:t>
      </w:r>
      <w:r w:rsidRPr="009501CD">
        <w:t xml:space="preserve">days prior to the pre-construction </w:t>
      </w:r>
      <w:r>
        <w:t>meeting</w:t>
      </w:r>
      <w:r w:rsidRPr="009501CD">
        <w:t>.</w:t>
      </w:r>
      <w:r>
        <w:t xml:space="preserve"> Provide </w:t>
      </w:r>
      <w:proofErr w:type="gramStart"/>
      <w:r>
        <w:t>1</w:t>
      </w:r>
      <w:proofErr w:type="gramEnd"/>
      <w:r>
        <w:t xml:space="preserve"> copy of the ECIP to the department and 1 copy of the ECIP to the WDNR Liaison </w:t>
      </w:r>
      <w:sdt>
        <w:sdtPr>
          <w:alias w:val="Click and Choose DNR Liasion"/>
          <w:tag w:val="Click and Choose DNR Liasion"/>
          <w:id w:val="-706951586"/>
          <w:placeholder>
            <w:docPart w:val="D465950279124083A4BCE85287DD34BD"/>
          </w:placeholder>
          <w:dropDownList>
            <w:listItem w:displayText="{Click and Choose a DNR Liaison from the Drop Down Box}." w:value="{Click and Choose a DNR Liaison from the Drop Down Box}."/>
            <w:listItem w:displayText="Kristina Betzold, (414) 263-8517, kristina.betzold@wisconsin.gov." w:value="Kristina Betzold, (414) 263-8517, kristina.betzold@wisconsin.gov."/>
            <w:listItem w:displayText="Craig Webster, (262) 574-2141, craig.webster@wisconsin.gov." w:value="Craig Webster, (262) 574-2141, craig.webster@wisconsin.gov."/>
          </w:dropDownList>
        </w:sdtPr>
        <w:sdtEndPr/>
        <w:sdtContent>
          <w:r>
            <w:t>{Click and Choose a DNR Liaison from the Drop Down Box}.</w:t>
          </w:r>
        </w:sdtContent>
      </w:sdt>
      <w:r>
        <w:t xml:space="preserve"> Do not implement the ECIP without department approval and perform all work conforming to the approved ECIP.</w:t>
      </w:r>
    </w:p>
    <w:p w:rsidR="007434BB" w:rsidRDefault="007434BB" w:rsidP="007434BB">
      <w:pPr>
        <w:pStyle w:val="spParagraph"/>
      </w:pPr>
      <w:r>
        <w:t>Maintain Erosion Control BMP’s until permanent vegetation is established or until the engineer determines that the BMP is no longer required.</w:t>
      </w:r>
    </w:p>
    <w:p w:rsidR="007434BB" w:rsidRDefault="007434BB" w:rsidP="007434BB">
      <w:pPr>
        <w:pStyle w:val="spParagraph"/>
      </w:pPr>
      <w:r>
        <w:t>Stockpile excess materials or spoils on upland areas away from wetlands, floodplains, and waterways. Immediately install perimeter silt fence protection around stockpiles. If stockpiled materials will be left for more than 14 days, install temporary seed or other temporary erosion control measures the engineer orders.</w:t>
      </w:r>
    </w:p>
    <w:p w:rsidR="007434BB" w:rsidRDefault="007434BB" w:rsidP="007434BB">
      <w:pPr>
        <w:pStyle w:val="spParagraph"/>
      </w:pPr>
      <w:r>
        <w:t>R</w:t>
      </w:r>
      <w:r w:rsidRPr="009501CD">
        <w:t>e-</w:t>
      </w:r>
      <w:r>
        <w:t xml:space="preserve">apply </w:t>
      </w:r>
      <w:r w:rsidRPr="009501CD">
        <w:t xml:space="preserve">topsoil </w:t>
      </w:r>
      <w:r>
        <w:t xml:space="preserve">on </w:t>
      </w:r>
      <w:r w:rsidRPr="009501CD">
        <w:t xml:space="preserve">graded areas, as </w:t>
      </w:r>
      <w:r>
        <w:t>the</w:t>
      </w:r>
      <w:r w:rsidRPr="009501CD">
        <w:t xml:space="preserve"> engineer</w:t>
      </w:r>
      <w:r>
        <w:t xml:space="preserve"> directs</w:t>
      </w:r>
      <w:r w:rsidRPr="009501CD">
        <w:t xml:space="preserve">, immediately after </w:t>
      </w:r>
      <w:r>
        <w:t xml:space="preserve">the </w:t>
      </w:r>
      <w:r w:rsidRPr="009501CD">
        <w:t>grading is completed within those areas.</w:t>
      </w:r>
      <w:r>
        <w:t xml:space="preserve"> Seed, fertilize, and mulch/erosion mat</w:t>
      </w:r>
      <w:r w:rsidRPr="009501CD">
        <w:t xml:space="preserve"> top-soiled areas</w:t>
      </w:r>
      <w:r>
        <w:t>, as the engineer directs, within 5</w:t>
      </w:r>
      <w:r w:rsidRPr="009501CD">
        <w:t xml:space="preserve"> days after placement of topsoil.</w:t>
      </w:r>
      <w:r>
        <w:t xml:space="preserve"> If graded areas are left not completed and exposed for more than 14 days, seed those areas with temporary seed and mulch.</w:t>
      </w:r>
    </w:p>
    <w:p w:rsidR="007434BB" w:rsidRPr="00291A7D" w:rsidRDefault="007434BB" w:rsidP="007434BB">
      <w:pPr>
        <w:rPr>
          <w:rStyle w:val="spHeading"/>
        </w:rPr>
      </w:pPr>
      <w:r w:rsidRPr="00291A7D">
        <w:rPr>
          <w:rStyle w:val="spHeading"/>
        </w:rPr>
        <w:t>Dewatering (Mechanical Pumping) for Bypass Water (sediment-free) Operations</w:t>
      </w:r>
    </w:p>
    <w:p w:rsidR="007434BB" w:rsidRDefault="007434BB" w:rsidP="007434BB">
      <w:pPr>
        <w:pStyle w:val="spParagraph"/>
      </w:pPr>
      <w:r w:rsidRPr="007F2656">
        <w:t>If dewatering</w:t>
      </w:r>
      <w:r>
        <w:t xml:space="preserve"> bypass operations are required from one pipe structure to another downstream pipe structure or from the upstream to downstream end of a culvert and the bypass flow is not transporting sediments (sand, silt, and clay particles) from a tributary work site area, bypass pumping operations will be allowed provided that the department has been made aware of and approves operation. When pumping bypass flows, the discharge location will need to be stable and not produce any erosion from the discharge velocity that would cause release of sediment downstream. Dewatering is considered incidental to the contract.</w:t>
      </w:r>
    </w:p>
    <w:p w:rsidR="007434BB" w:rsidRPr="00291A7D" w:rsidRDefault="007434BB" w:rsidP="007434BB">
      <w:pPr>
        <w:rPr>
          <w:rStyle w:val="spHeading"/>
        </w:rPr>
      </w:pPr>
      <w:r w:rsidRPr="00291A7D">
        <w:rPr>
          <w:rStyle w:val="spHeading"/>
        </w:rPr>
        <w:t>Dewatering (Mechanical Pumping) for Treatment Water (sediment-laden) Operations</w:t>
      </w:r>
    </w:p>
    <w:p w:rsidR="007434BB" w:rsidRDefault="007434BB" w:rsidP="007434BB">
      <w:pPr>
        <w:pStyle w:val="spParagraph"/>
        <w:rPr>
          <w:rFonts w:eastAsia="Times New Roman"/>
          <w:color w:val="000000"/>
        </w:rPr>
      </w:pPr>
      <w:r>
        <w:rPr>
          <w:rFonts w:eastAsia="Times New Roman"/>
          <w:color w:val="000000"/>
        </w:rPr>
        <w:t xml:space="preserve">If dewatering operations require pumping of </w:t>
      </w:r>
      <w:r>
        <w:t>water containing sediments (sand, silt, and clay particles), the discharge will not be allowed to leave the work site or discharge to a storm water conveyance system without sediment removal treatment.</w:t>
      </w:r>
      <w:r>
        <w:rPr>
          <w:rFonts w:eastAsia="Times New Roman"/>
          <w:color w:val="000000"/>
        </w:rPr>
        <w:t xml:space="preserve"> </w:t>
      </w:r>
      <w:r>
        <w:t xml:space="preserve">Do not allow any </w:t>
      </w:r>
      <w:r w:rsidRPr="003D1EB7">
        <w:t>excavation for; structures, utilities, grading, maintaining drainage that requires dewatering</w:t>
      </w:r>
      <w:r>
        <w:t xml:space="preserve"> </w:t>
      </w:r>
      <w:r w:rsidRPr="003D1EB7">
        <w:t>(mechanical pumping) of water containing sediments (sand, silt, and clay particles) to leave the work site or discharge to a storm water conveyance system witho</w:t>
      </w:r>
      <w:r>
        <w:t>ut sediment removal treatment.</w:t>
      </w:r>
    </w:p>
    <w:p w:rsidR="007434BB" w:rsidRDefault="007434BB" w:rsidP="007434BB">
      <w:pPr>
        <w:pStyle w:val="spParagraph"/>
      </w:pPr>
      <w:r w:rsidRPr="003D1EB7">
        <w:t>Prior to each dewatering operation, submit to the department a separate ECIP amendment for sediment removal</w:t>
      </w:r>
      <w:r>
        <w:t xml:space="preserve">. Guidance on dewatering can be found on the Wisconsin DNR website located in the Storm Water Construction Technical Standards, Dewatering Code #1061, </w:t>
      </w:r>
    </w:p>
    <w:p w:rsidR="007434BB" w:rsidRDefault="008E4405" w:rsidP="007434BB">
      <w:pPr>
        <w:pStyle w:val="wiWebLink"/>
      </w:pPr>
      <w:hyperlink r:id="rId19" w:history="1">
        <w:r w:rsidR="007434BB" w:rsidRPr="004A4C06">
          <w:rPr>
            <w:rStyle w:val="Hyperlink"/>
          </w:rPr>
          <w:t>http://dnr.wi.gov/topic/stormwater/standards/const_standards.html</w:t>
        </w:r>
      </w:hyperlink>
      <w:r w:rsidR="007434BB">
        <w:rPr>
          <w:rStyle w:val="Hyperlink"/>
        </w:rPr>
        <w:t>.</w:t>
      </w:r>
    </w:p>
    <w:p w:rsidR="007434BB" w:rsidRPr="00B008E9" w:rsidRDefault="007434BB" w:rsidP="007434BB">
      <w:pPr>
        <w:pStyle w:val="spParagraph"/>
        <w:rPr>
          <w:rFonts w:eastAsia="Times New Roman"/>
          <w:color w:val="000000"/>
        </w:rPr>
      </w:pPr>
      <w:r w:rsidRPr="003D1EB7">
        <w:t>Include reasoning, location, and schedule duration proposed for each operation. Per Code 1061, include all selection criteria:  site assessment, dewatering practice selection, calculations, plans, specifications, operations, maintenance, and location of proposed treated water discharge. Provi</w:t>
      </w:r>
      <w:r>
        <w:t>de a stabilized discharge area.</w:t>
      </w:r>
      <w:r w:rsidRPr="003D1EB7">
        <w:t xml:space="preserve"> If directing discharge towards or into an inlet structure, provide additional inlet pro</w:t>
      </w:r>
      <w:r>
        <w:t>tection for back-up protection.</w:t>
      </w:r>
      <w:r w:rsidRPr="003D1EB7">
        <w:t xml:space="preserve"> Dewatering is consid</w:t>
      </w:r>
      <w:r>
        <w:t>ered incidental to the contract.</w:t>
      </w:r>
    </w:p>
    <w:p w:rsidR="007434BB" w:rsidRPr="00291A7D" w:rsidRDefault="007434BB" w:rsidP="007434BB">
      <w:pPr>
        <w:rPr>
          <w:rStyle w:val="spHeading"/>
        </w:rPr>
      </w:pPr>
      <w:r w:rsidRPr="00291A7D">
        <w:rPr>
          <w:rStyle w:val="spHeading"/>
        </w:rPr>
        <w:t>Maintaining Drainage</w:t>
      </w:r>
    </w:p>
    <w:p w:rsidR="007434BB" w:rsidRDefault="007434BB" w:rsidP="007434BB">
      <w:pPr>
        <w:pStyle w:val="spParagraph"/>
      </w:pPr>
      <w:r w:rsidRPr="007F2656">
        <w:t xml:space="preserve">Maintain drainage at and through worksite during construction </w:t>
      </w:r>
      <w:r>
        <w:t>conforming</w:t>
      </w:r>
      <w:r w:rsidRPr="007F2656">
        <w:t xml:space="preserve"> to</w:t>
      </w:r>
      <w:r w:rsidRPr="007F2656">
        <w:rPr>
          <w:spacing w:val="24"/>
        </w:rPr>
        <w:t xml:space="preserve"> </w:t>
      </w:r>
      <w:r w:rsidRPr="007F2656">
        <w:t>standard spec</w:t>
      </w:r>
      <w:r>
        <w:t xml:space="preserve"> 107.20</w:t>
      </w:r>
      <w:r w:rsidRPr="007F2656">
        <w:t>, 204</w:t>
      </w:r>
      <w:r>
        <w:t>.3.2.1(3)</w:t>
      </w:r>
      <w:r w:rsidRPr="007F2656">
        <w:t xml:space="preserve">, </w:t>
      </w:r>
      <w:r>
        <w:t xml:space="preserve">205.3.3 </w:t>
      </w:r>
      <w:r w:rsidRPr="007F2656">
        <w:t>and 520</w:t>
      </w:r>
      <w:r>
        <w:t>.3.1(2)</w:t>
      </w:r>
      <w:r w:rsidRPr="007F2656">
        <w:t>.</w:t>
      </w:r>
      <w:r>
        <w:t xml:space="preserve"> </w:t>
      </w:r>
      <w:r w:rsidRPr="007F2656">
        <w:t>Use existing storm sewer</w:t>
      </w:r>
      <w:r>
        <w:t>s</w:t>
      </w:r>
      <w:r w:rsidRPr="007F2656">
        <w:t xml:space="preserve">, </w:t>
      </w:r>
      <w:r>
        <w:t xml:space="preserve">existing </w:t>
      </w:r>
      <w:r w:rsidRPr="007F2656">
        <w:t>culvert pipes</w:t>
      </w:r>
      <w:r>
        <w:t>,</w:t>
      </w:r>
      <w:r w:rsidRPr="007F2656">
        <w:t xml:space="preserve"> existing drainage channels</w:t>
      </w:r>
      <w:r>
        <w:t xml:space="preserve">, temporary </w:t>
      </w:r>
      <w:r w:rsidRPr="007F2656">
        <w:t>culvert pipes</w:t>
      </w:r>
      <w:r>
        <w:t>, or temporary drainage channels</w:t>
      </w:r>
      <w:r w:rsidRPr="007F2656">
        <w:t xml:space="preserve"> to maintain existing surface and pipe drainage. Pumps may be required to drain the surface</w:t>
      </w:r>
      <w:r>
        <w:t xml:space="preserve">, </w:t>
      </w:r>
      <w:r w:rsidRPr="007F2656">
        <w:t>pipe</w:t>
      </w:r>
      <w:r>
        <w:t xml:space="preserve">, and </w:t>
      </w:r>
      <w:r w:rsidRPr="007F2656">
        <w:t>structure discharges during construction. Costs for furnishing, operating, and maintaining the pumps is considered incidental to</w:t>
      </w:r>
      <w:r>
        <w:t xml:space="preserve"> the contract</w:t>
      </w:r>
      <w:r w:rsidRPr="007F2656">
        <w:t>.</w:t>
      </w:r>
    </w:p>
    <w:p w:rsidR="007434BB" w:rsidRDefault="007434BB" w:rsidP="007434BB">
      <w:pPr>
        <w:pStyle w:val="spVersion"/>
      </w:pPr>
      <w:r>
        <w:t>SER-107-003 (20161220)</w:t>
      </w:r>
    </w:p>
    <w:p w:rsidR="007434BB" w:rsidRPr="00FF4C8A" w:rsidRDefault="007434BB" w:rsidP="007434BB">
      <w:pPr>
        <w:pStyle w:val="1Heading1"/>
        <w:numPr>
          <w:ilvl w:val="0"/>
          <w:numId w:val="1"/>
        </w:numPr>
        <w:ind w:left="0" w:hanging="720"/>
      </w:pPr>
      <w:bookmarkStart w:id="8" w:name="_Toc30768681"/>
      <w:r w:rsidRPr="00FF4C8A">
        <w:lastRenderedPageBreak/>
        <w:t>Traffic Control.</w:t>
      </w:r>
      <w:bookmarkEnd w:id="8"/>
    </w:p>
    <w:p w:rsidR="007434BB" w:rsidRPr="00812715" w:rsidRDefault="007434BB" w:rsidP="007434BB">
      <w:pPr>
        <w:pStyle w:val="spUndefined"/>
      </w:pPr>
      <w:r w:rsidRPr="00812715">
        <w:t xml:space="preserve">Supplement </w:t>
      </w:r>
      <w:r>
        <w:t xml:space="preserve">standard </w:t>
      </w:r>
      <w:r w:rsidRPr="00515171">
        <w:t>spec 643.3.1</w:t>
      </w:r>
      <w:r w:rsidRPr="00812715">
        <w:t xml:space="preserve"> with the following:</w:t>
      </w:r>
    </w:p>
    <w:p w:rsidR="007434BB" w:rsidRDefault="007434BB" w:rsidP="007434BB">
      <w:pPr>
        <w:pStyle w:val="spParagraph"/>
      </w:pPr>
      <w:r>
        <w:t>Provide the Racine County Sheriff's Department, the Wisconsin State Patrol, village of Rochester Police Department and the project engineer a current telephone number with which the contractor or his representative can be contacted during non-working hours in the event a safety hazard develops.</w:t>
      </w:r>
    </w:p>
    <w:p w:rsidR="007434BB" w:rsidRDefault="007434BB" w:rsidP="007434BB">
      <w:pPr>
        <w:pStyle w:val="spParagraph"/>
      </w:pPr>
      <w:r>
        <w:t>Do not park or store equipment, contractor’s and personal vehicles or construction materials within the clear zon</w:t>
      </w:r>
      <w:r w:rsidRPr="008C0EE9">
        <w:t>e or</w:t>
      </w:r>
      <w:r>
        <w:t xml:space="preserve"> on any roadway carrying traffic during working and non-working hours except at locations and periods of time approved by the engineer.</w:t>
      </w:r>
    </w:p>
    <w:p w:rsidR="007434BB" w:rsidRDefault="007434BB" w:rsidP="007434BB">
      <w:pPr>
        <w:pStyle w:val="spParagraph"/>
      </w:pPr>
      <w:r>
        <w:t xml:space="preserve">Do not permit construction or personnel equipment or vehicles to directly cross the live traffic lanes of STH 36. Yield to all through traffic at all locations. Equip all vehicles or equipment operating in the live traffic lanes with a hazard identification beam (flashing yellow signal light) that is visible from 360 degrees. Operate the flashing yellow beam only when merging or exiting live traffic lanes or when parked or operating on shoulders, except when parked behind barrier wall. </w:t>
      </w:r>
      <w:r w:rsidRPr="00C33856">
        <w:t xml:space="preserve">Do not park personal vehicles within the access control limits of the freeway. Do not cross live traffic lanes </w:t>
      </w:r>
      <w:r>
        <w:t xml:space="preserve">of STH 36 </w:t>
      </w:r>
      <w:r w:rsidRPr="00C33856">
        <w:t>with equipment or vehicles</w:t>
      </w:r>
      <w:r>
        <w:t>.</w:t>
      </w:r>
    </w:p>
    <w:p w:rsidR="007434BB" w:rsidRDefault="007434BB" w:rsidP="007434BB">
      <w:pPr>
        <w:pStyle w:val="spParagraph"/>
      </w:pPr>
      <w:r>
        <w:t>Obtain prior approval from the engineer for the locations of egress or ingress for construction vehicles to prosecute the work.</w:t>
      </w:r>
    </w:p>
    <w:p w:rsidR="007434BB" w:rsidRDefault="007434BB" w:rsidP="007434BB">
      <w:pPr>
        <w:pStyle w:val="spParagraph"/>
      </w:pPr>
      <w:r>
        <w:t>Do not disturb, remove or obliterate any traffic control signs, advisory signs, sand barrel array, shoulder delineators or beam guard in place along the traveled roadways without the approval of the engineer.</w:t>
      </w:r>
    </w:p>
    <w:p w:rsidR="007434BB" w:rsidRDefault="007434BB" w:rsidP="007434BB">
      <w:pPr>
        <w:pStyle w:val="spParagraph"/>
      </w:pPr>
      <w:r>
        <w:t>Ensure that Flagging operations conform to standard spec 104.6.1</w:t>
      </w:r>
      <w:proofErr w:type="gramStart"/>
      <w:r>
        <w:t>.(</w:t>
      </w:r>
      <w:proofErr w:type="gramEnd"/>
      <w:r>
        <w:t>4) and chapter 6E of the WMUTCD.</w:t>
      </w:r>
    </w:p>
    <w:p w:rsidR="007434BB" w:rsidRPr="006D083F" w:rsidRDefault="007434BB" w:rsidP="007434BB">
      <w:pPr>
        <w:pStyle w:val="spUndefined"/>
      </w:pPr>
      <w:r w:rsidRPr="006D083F">
        <w:t xml:space="preserve">Replace </w:t>
      </w:r>
      <w:r w:rsidRPr="00515171">
        <w:t xml:space="preserve">standard spec </w:t>
      </w:r>
      <w:r w:rsidRPr="006D083F">
        <w:t>643.3.1.(7) with the following:</w:t>
      </w:r>
    </w:p>
    <w:p w:rsidR="007434BB" w:rsidRPr="003C3189" w:rsidRDefault="007434BB" w:rsidP="007434BB">
      <w:pPr>
        <w:pStyle w:val="spParagraph"/>
      </w:pPr>
      <w:r w:rsidRPr="003C3189">
        <w:t>Provide equipment, forces, and materials to promptly restore any traffic control devices or pavement</w:t>
      </w:r>
      <w:r>
        <w:t xml:space="preserve"> </w:t>
      </w:r>
      <w:r w:rsidRPr="003C3189">
        <w:t>markings damaged or disturbed within 2 hours of being contacted</w:t>
      </w:r>
      <w:r>
        <w:t>.</w:t>
      </w:r>
    </w:p>
    <w:p w:rsidR="007434BB" w:rsidRDefault="007434BB" w:rsidP="00514E11">
      <w:pPr>
        <w:pStyle w:val="spVersion"/>
      </w:pPr>
      <w:r>
        <w:t>SER-643-001 (20170808)</w:t>
      </w:r>
    </w:p>
    <w:p w:rsidR="004B572C" w:rsidRPr="004B572C" w:rsidRDefault="004B572C" w:rsidP="004B572C">
      <w:pPr>
        <w:pStyle w:val="spVersion"/>
      </w:pPr>
    </w:p>
    <w:p w:rsidR="003B57B5" w:rsidRPr="00B04CCE" w:rsidRDefault="003B57B5" w:rsidP="003B57B5">
      <w:pPr>
        <w:pStyle w:val="1Heading1"/>
        <w:numPr>
          <w:ilvl w:val="0"/>
          <w:numId w:val="1"/>
        </w:numPr>
        <w:ind w:left="0" w:hanging="720"/>
      </w:pPr>
      <w:bookmarkStart w:id="9" w:name="_Toc30056148"/>
      <w:bookmarkStart w:id="10" w:name="_Toc30768682"/>
      <w:r w:rsidRPr="00B04CCE">
        <w:t>Cleaning Parapets, Item 509.9050.S.</w:t>
      </w:r>
      <w:bookmarkEnd w:id="9"/>
      <w:bookmarkEnd w:id="10"/>
    </w:p>
    <w:p w:rsidR="003B57B5" w:rsidRDefault="003B57B5" w:rsidP="003B57B5">
      <w:pPr>
        <w:pStyle w:val="spParagraph"/>
      </w:pPr>
      <w:r w:rsidRPr="00765725">
        <w:rPr>
          <w:rStyle w:val="spHeading"/>
        </w:rPr>
        <w:t>A  Description</w:t>
      </w:r>
    </w:p>
    <w:p w:rsidR="003B57B5" w:rsidRDefault="003B57B5" w:rsidP="003B57B5">
      <w:pPr>
        <w:pStyle w:val="spParagraph"/>
      </w:pPr>
      <w:r>
        <w:t>This special provision describes cleaning the inside faces and top surface of the concrete parapet as the plans show and as the engineer directs.</w:t>
      </w:r>
    </w:p>
    <w:p w:rsidR="003B57B5" w:rsidRDefault="003B57B5" w:rsidP="003B57B5">
      <w:pPr>
        <w:pStyle w:val="spParagraph"/>
      </w:pPr>
      <w:proofErr w:type="gramStart"/>
      <w:r w:rsidRPr="00765725">
        <w:rPr>
          <w:rStyle w:val="spHeading"/>
        </w:rPr>
        <w:t>B  (</w:t>
      </w:r>
      <w:proofErr w:type="gramEnd"/>
      <w:r w:rsidRPr="00765725">
        <w:rPr>
          <w:rStyle w:val="spHeading"/>
        </w:rPr>
        <w:t>Vacant)</w:t>
      </w:r>
    </w:p>
    <w:p w:rsidR="003B57B5" w:rsidRDefault="003B57B5" w:rsidP="003B57B5">
      <w:pPr>
        <w:pStyle w:val="spParagraph"/>
      </w:pPr>
      <w:r w:rsidRPr="00765725">
        <w:rPr>
          <w:rStyle w:val="spHeading"/>
        </w:rPr>
        <w:t>C  Construction</w:t>
      </w:r>
    </w:p>
    <w:p w:rsidR="003B57B5" w:rsidRDefault="003B57B5" w:rsidP="003B57B5">
      <w:pPr>
        <w:pStyle w:val="spParagraph"/>
      </w:pPr>
      <w:proofErr w:type="gramStart"/>
      <w:r w:rsidRPr="00765725">
        <w:rPr>
          <w:rStyle w:val="spHeading"/>
        </w:rPr>
        <w:t>C.1  Blast</w:t>
      </w:r>
      <w:proofErr w:type="gramEnd"/>
      <w:r w:rsidRPr="00765725">
        <w:rPr>
          <w:rStyle w:val="spHeading"/>
        </w:rPr>
        <w:t xml:space="preserve"> Cleaning Operation</w:t>
      </w:r>
    </w:p>
    <w:p w:rsidR="003B57B5" w:rsidRDefault="003B57B5" w:rsidP="003B57B5">
      <w:pPr>
        <w:pStyle w:val="spParagraph"/>
      </w:pPr>
      <w:r>
        <w:t xml:space="preserve">Blast clean the inside face and top surface of the concrete parapet according to SSPC SP-13 and ASTM D4259 for an abrasive blast cleaning to a surface roughness and finish as the engineer directs. Before abrasive </w:t>
      </w:r>
      <w:proofErr w:type="gramStart"/>
      <w:r>
        <w:t>blast</w:t>
      </w:r>
      <w:proofErr w:type="gramEnd"/>
      <w:r>
        <w:t xml:space="preserve"> cleaning operations are to begin for the entire bridge parapet, prepare a representative trial area on the parapet concrete surface, and have the method of blast cleaning approved by the engineer.</w:t>
      </w:r>
    </w:p>
    <w:p w:rsidR="003B57B5" w:rsidRDefault="003B57B5" w:rsidP="003B57B5">
      <w:pPr>
        <w:pStyle w:val="spParagraph"/>
      </w:pPr>
      <w:proofErr w:type="gramStart"/>
      <w:r w:rsidRPr="00765725">
        <w:rPr>
          <w:rStyle w:val="spHeading"/>
        </w:rPr>
        <w:t>C.2  Water</w:t>
      </w:r>
      <w:proofErr w:type="gramEnd"/>
      <w:r w:rsidRPr="00765725">
        <w:rPr>
          <w:rStyle w:val="spHeading"/>
        </w:rPr>
        <w:t xml:space="preserve"> Cleaning Operation</w:t>
      </w:r>
    </w:p>
    <w:p w:rsidR="003B57B5" w:rsidRDefault="003B57B5" w:rsidP="003B57B5">
      <w:pPr>
        <w:pStyle w:val="spParagraph"/>
      </w:pPr>
      <w:r>
        <w:t>After abrasive blast cleaning operations are completed, clean the prepared parapet surface with water according to ASTM D4258. Remove with this water cleaning all dust and loose material from the parapet inside face and top that is to be coated with pigmented surface sealer. Provide an adequate drying time of the parapet inside face and top surface of at least 24 hours before coating with the pigmented surface sealer. Remove all loose concrete, dirt, dust, or blast material that remains on the bridge deck, as the engineer directs.</w:t>
      </w:r>
    </w:p>
    <w:p w:rsidR="003B57B5" w:rsidRDefault="003B57B5" w:rsidP="003B57B5">
      <w:pPr>
        <w:pStyle w:val="spParagraph"/>
      </w:pPr>
      <w:r w:rsidRPr="00765725">
        <w:rPr>
          <w:rStyle w:val="spHeading"/>
        </w:rPr>
        <w:t>D  Measurement</w:t>
      </w:r>
    </w:p>
    <w:p w:rsidR="003B57B5" w:rsidRDefault="003B57B5" w:rsidP="003B57B5">
      <w:pPr>
        <w:pStyle w:val="spParagraph"/>
      </w:pPr>
      <w:r>
        <w:t>The department will measure Cleaning Parapets in length by the linear foot of parapet, acceptably cleaned.</w:t>
      </w:r>
    </w:p>
    <w:p w:rsidR="003B57B5" w:rsidRDefault="003B57B5" w:rsidP="003B57B5">
      <w:pPr>
        <w:pStyle w:val="spParagraph"/>
      </w:pPr>
      <w:r w:rsidRPr="00765725">
        <w:rPr>
          <w:rStyle w:val="spHeading"/>
        </w:rPr>
        <w:t>E  Payment</w:t>
      </w:r>
    </w:p>
    <w:p w:rsidR="003B57B5" w:rsidRDefault="003B57B5" w:rsidP="003B57B5">
      <w:pPr>
        <w:pStyle w:val="spParagraph"/>
      </w:pPr>
      <w:r>
        <w:t>The department will pay for measured quantities at the contract unit price under the following bid item:</w:t>
      </w:r>
    </w:p>
    <w:p w:rsidR="003B57B5" w:rsidRDefault="003B57B5" w:rsidP="003B57B5">
      <w:pPr>
        <w:pStyle w:val="ssBidItem"/>
      </w:pPr>
      <w:r>
        <w:t>ITEM NUMBER</w:t>
      </w:r>
      <w:r w:rsidRPr="000A528D">
        <w:tab/>
      </w:r>
      <w:r>
        <w:t>DESCRIPTION</w:t>
      </w:r>
      <w:r w:rsidRPr="000A528D">
        <w:tab/>
      </w:r>
      <w:r>
        <w:t>UNIT</w:t>
      </w:r>
    </w:p>
    <w:p w:rsidR="003B57B5" w:rsidRDefault="003B57B5" w:rsidP="003B57B5">
      <w:pPr>
        <w:pStyle w:val="ssBidItem"/>
      </w:pPr>
      <w:r>
        <w:lastRenderedPageBreak/>
        <w:t>509.9050</w:t>
      </w:r>
      <w:proofErr w:type="gramStart"/>
      <w:r>
        <w:t>.S</w:t>
      </w:r>
      <w:proofErr w:type="gramEnd"/>
      <w:r w:rsidRPr="000A528D">
        <w:tab/>
      </w:r>
      <w:r>
        <w:t>Cleaning Parapets</w:t>
      </w:r>
      <w:r w:rsidRPr="000A528D">
        <w:tab/>
      </w:r>
      <w:r>
        <w:t>LF</w:t>
      </w:r>
    </w:p>
    <w:p w:rsidR="003B57B5" w:rsidRDefault="003B57B5" w:rsidP="003B57B5">
      <w:pPr>
        <w:pStyle w:val="spParagraph"/>
      </w:pPr>
      <w:r>
        <w:t xml:space="preserve">Payment is full compensation for abrasive blast cleaning; for water cleaning; and for all additional </w:t>
      </w:r>
      <w:proofErr w:type="spellStart"/>
      <w:r>
        <w:t>clean up</w:t>
      </w:r>
      <w:proofErr w:type="spellEnd"/>
      <w:r>
        <w:t xml:space="preserve"> of the concrete surface and surrounding bridge deck area.</w:t>
      </w:r>
    </w:p>
    <w:p w:rsidR="003B57B5" w:rsidRDefault="003B57B5" w:rsidP="003B57B5">
      <w:pPr>
        <w:pStyle w:val="spVersion"/>
      </w:pPr>
      <w:proofErr w:type="gramStart"/>
      <w:r>
        <w:t>stp-509-050</w:t>
      </w:r>
      <w:proofErr w:type="gramEnd"/>
      <w:r>
        <w:t xml:space="preserve"> (20151210)</w:t>
      </w:r>
    </w:p>
    <w:p w:rsidR="00331AA5" w:rsidRPr="00331AA5" w:rsidRDefault="00331AA5" w:rsidP="00331AA5">
      <w:pPr>
        <w:pStyle w:val="spParagraph"/>
      </w:pPr>
    </w:p>
    <w:p w:rsidR="009D499B" w:rsidRDefault="009D499B" w:rsidP="00147FEB"/>
    <w:p w:rsidR="00D40A7A" w:rsidRPr="00D40A7A" w:rsidRDefault="00D40A7A" w:rsidP="00D40A7A">
      <w:pPr>
        <w:pStyle w:val="spParagraph"/>
      </w:pPr>
    </w:p>
    <w:p w:rsidR="002A2A5D" w:rsidRDefault="002A2A5D" w:rsidP="00466B63">
      <w:pPr>
        <w:pStyle w:val="spParagraph"/>
      </w:pPr>
    </w:p>
    <w:p w:rsidR="0094611D" w:rsidRDefault="0094611D" w:rsidP="00466B63">
      <w:pPr>
        <w:pStyle w:val="spParagraph"/>
      </w:pPr>
    </w:p>
    <w:sectPr w:rsidR="0094611D"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216" w:rsidRDefault="00D03216">
      <w:r>
        <w:separator/>
      </w:r>
    </w:p>
    <w:p w:rsidR="00D03216" w:rsidRDefault="00D03216"/>
    <w:p w:rsidR="00D03216" w:rsidRDefault="00D03216"/>
    <w:p w:rsidR="00D03216" w:rsidRDefault="00D03216"/>
    <w:p w:rsidR="00D03216" w:rsidRDefault="00D03216"/>
    <w:p w:rsidR="00D03216" w:rsidRDefault="00D03216"/>
    <w:p w:rsidR="00D03216" w:rsidRDefault="00D03216"/>
    <w:p w:rsidR="00D03216" w:rsidRDefault="00D03216"/>
    <w:p w:rsidR="00D03216" w:rsidRDefault="00D03216"/>
  </w:endnote>
  <w:endnote w:type="continuationSeparator" w:id="0">
    <w:p w:rsidR="00D03216" w:rsidRDefault="00D03216">
      <w:r>
        <w:continuationSeparator/>
      </w:r>
    </w:p>
    <w:p w:rsidR="00D03216" w:rsidRDefault="00D03216"/>
    <w:p w:rsidR="00D03216" w:rsidRDefault="00D03216"/>
    <w:p w:rsidR="00D03216" w:rsidRDefault="00D03216"/>
    <w:p w:rsidR="00D03216" w:rsidRDefault="00D03216"/>
    <w:p w:rsidR="00D03216" w:rsidRDefault="00D03216"/>
    <w:p w:rsidR="00D03216" w:rsidRDefault="00D03216"/>
    <w:p w:rsidR="00D03216" w:rsidRDefault="00D03216"/>
    <w:p w:rsidR="00D03216" w:rsidRDefault="00D03216"/>
  </w:endnote>
  <w:endnote w:type="continuationNotice" w:id="1">
    <w:p w:rsidR="00D03216" w:rsidRDefault="00D03216"/>
    <w:p w:rsidR="00D03216" w:rsidRDefault="00D03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64" w:rsidRDefault="008E4405" w:rsidP="00C75171">
    <w:pPr>
      <w:pStyle w:val="Footer"/>
      <w:tabs>
        <w:tab w:val="clear" w:pos="4680"/>
      </w:tabs>
    </w:pPr>
    <w:sdt>
      <w:sdtPr>
        <w:id w:val="1314444106"/>
      </w:sdtPr>
      <w:sdtEndPr/>
      <w:sdtContent>
        <w:r w:rsidR="00581A9A">
          <w:t>2240-00-77</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Pr>
            <w:noProof/>
          </w:rPr>
          <w:t>6</w:t>
        </w:r>
        <w:r w:rsidR="004C6464">
          <w:rPr>
            <w:noProof/>
          </w:rPr>
          <w:fldChar w:fldCharType="end"/>
        </w:r>
        <w:r w:rsidR="004C6464">
          <w:t xml:space="preserve"> of </w:t>
        </w:r>
        <w:fldSimple w:instr=" NUMPAGES  ">
          <w:r>
            <w:rPr>
              <w:noProof/>
            </w:rPr>
            <w:t>6</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216" w:rsidRDefault="00D03216">
      <w:r>
        <w:separator/>
      </w:r>
    </w:p>
    <w:p w:rsidR="00D03216" w:rsidRDefault="00D03216"/>
    <w:p w:rsidR="00D03216" w:rsidRDefault="00D03216"/>
    <w:p w:rsidR="00D03216" w:rsidRDefault="00D03216"/>
    <w:p w:rsidR="00D03216" w:rsidRDefault="00D03216"/>
    <w:p w:rsidR="00D03216" w:rsidRDefault="00D03216"/>
    <w:p w:rsidR="00D03216" w:rsidRDefault="00D03216"/>
    <w:p w:rsidR="00D03216" w:rsidRDefault="00D03216"/>
    <w:p w:rsidR="00D03216" w:rsidRDefault="00D03216"/>
  </w:footnote>
  <w:footnote w:type="continuationSeparator" w:id="0">
    <w:p w:rsidR="00D03216" w:rsidRDefault="00D03216">
      <w:r>
        <w:continuationSeparator/>
      </w:r>
    </w:p>
    <w:p w:rsidR="00D03216" w:rsidRDefault="00D03216"/>
    <w:p w:rsidR="00D03216" w:rsidRDefault="00D03216"/>
    <w:p w:rsidR="00D03216" w:rsidRDefault="00D03216"/>
    <w:p w:rsidR="00D03216" w:rsidRDefault="00D03216"/>
    <w:p w:rsidR="00D03216" w:rsidRDefault="00D03216"/>
    <w:p w:rsidR="00D03216" w:rsidRDefault="00D03216"/>
    <w:p w:rsidR="00D03216" w:rsidRDefault="00D03216"/>
    <w:p w:rsidR="00D03216" w:rsidRDefault="00D03216"/>
  </w:footnote>
  <w:footnote w:type="continuationNotice" w:id="1">
    <w:p w:rsidR="00D03216" w:rsidRDefault="00D03216"/>
    <w:p w:rsidR="00D03216" w:rsidRDefault="00D032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ADE4E5C"/>
    <w:multiLevelType w:val="hybridMultilevel"/>
    <w:tmpl w:val="4BCEACDA"/>
    <w:lvl w:ilvl="0" w:tplc="CB1C7D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6"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1"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31"/>
  </w:num>
  <w:num w:numId="3">
    <w:abstractNumId w:val="39"/>
  </w:num>
  <w:num w:numId="4">
    <w:abstractNumId w:val="15"/>
  </w:num>
  <w:num w:numId="5">
    <w:abstractNumId w:val="43"/>
  </w:num>
  <w:num w:numId="6">
    <w:abstractNumId w:val="42"/>
  </w:num>
  <w:num w:numId="7">
    <w:abstractNumId w:val="17"/>
  </w:num>
  <w:num w:numId="8">
    <w:abstractNumId w:val="44"/>
  </w:num>
  <w:num w:numId="9">
    <w:abstractNumId w:val="19"/>
  </w:num>
  <w:num w:numId="10">
    <w:abstractNumId w:val="32"/>
  </w:num>
  <w:num w:numId="11">
    <w:abstractNumId w:val="33"/>
  </w:num>
  <w:num w:numId="12">
    <w:abstractNumId w:val="4"/>
  </w:num>
  <w:num w:numId="13">
    <w:abstractNumId w:val="30"/>
  </w:num>
  <w:num w:numId="14">
    <w:abstractNumId w:val="22"/>
  </w:num>
  <w:num w:numId="15">
    <w:abstractNumId w:val="2"/>
  </w:num>
  <w:num w:numId="16">
    <w:abstractNumId w:val="25"/>
  </w:num>
  <w:num w:numId="17">
    <w:abstractNumId w:val="20"/>
  </w:num>
  <w:num w:numId="18">
    <w:abstractNumId w:val="16"/>
  </w:num>
  <w:num w:numId="19">
    <w:abstractNumId w:val="7"/>
  </w:num>
  <w:num w:numId="20">
    <w:abstractNumId w:val="10"/>
  </w:num>
  <w:num w:numId="21">
    <w:abstractNumId w:val="5"/>
  </w:num>
  <w:num w:numId="22">
    <w:abstractNumId w:val="1"/>
  </w:num>
  <w:num w:numId="23">
    <w:abstractNumId w:val="38"/>
  </w:num>
  <w:num w:numId="24">
    <w:abstractNumId w:val="37"/>
  </w:num>
  <w:num w:numId="25">
    <w:abstractNumId w:val="27"/>
  </w:num>
  <w:num w:numId="26">
    <w:abstractNumId w:val="13"/>
  </w:num>
  <w:num w:numId="27">
    <w:abstractNumId w:val="24"/>
  </w:num>
  <w:num w:numId="28">
    <w:abstractNumId w:val="21"/>
  </w:num>
  <w:num w:numId="29">
    <w:abstractNumId w:val="36"/>
  </w:num>
  <w:num w:numId="30">
    <w:abstractNumId w:val="14"/>
  </w:num>
  <w:num w:numId="31">
    <w:abstractNumId w:val="41"/>
  </w:num>
  <w:num w:numId="32">
    <w:abstractNumId w:val="3"/>
  </w:num>
  <w:num w:numId="33">
    <w:abstractNumId w:val="6"/>
  </w:num>
  <w:num w:numId="34">
    <w:abstractNumId w:val="8"/>
  </w:num>
  <w:num w:numId="35">
    <w:abstractNumId w:val="29"/>
  </w:num>
  <w:num w:numId="36">
    <w:abstractNumId w:val="28"/>
  </w:num>
  <w:num w:numId="37">
    <w:abstractNumId w:val="35"/>
  </w:num>
  <w:num w:numId="38">
    <w:abstractNumId w:val="12"/>
  </w:num>
  <w:num w:numId="39">
    <w:abstractNumId w:val="40"/>
  </w:num>
  <w:num w:numId="40">
    <w:abstractNumId w:val="0"/>
  </w:num>
  <w:num w:numId="41">
    <w:abstractNumId w:val="11"/>
  </w:num>
  <w:num w:numId="42">
    <w:abstractNumId w:val="26"/>
  </w:num>
  <w:num w:numId="43">
    <w:abstractNumId w:val="9"/>
  </w:num>
  <w:num w:numId="44">
    <w:abstractNumId w:val="34"/>
  </w:num>
  <w:num w:numId="45">
    <w:abstractNumId w:val="23"/>
  </w:num>
  <w:num w:numId="46">
    <w:abstractNumId w:val="27"/>
  </w:num>
  <w:num w:numId="47">
    <w:abstractNumId w:val="23"/>
  </w:num>
  <w:num w:numId="48">
    <w:abstractNumId w:val="27"/>
  </w:num>
  <w:num w:numId="4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16"/>
    <w:rsid w:val="00002A93"/>
    <w:rsid w:val="00002E61"/>
    <w:rsid w:val="000037EB"/>
    <w:rsid w:val="00011479"/>
    <w:rsid w:val="00011A38"/>
    <w:rsid w:val="0001243B"/>
    <w:rsid w:val="000138C0"/>
    <w:rsid w:val="00014FC5"/>
    <w:rsid w:val="00015CAF"/>
    <w:rsid w:val="000236A1"/>
    <w:rsid w:val="00025F98"/>
    <w:rsid w:val="000278B0"/>
    <w:rsid w:val="00027F9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47BF"/>
    <w:rsid w:val="000B1658"/>
    <w:rsid w:val="000B29D1"/>
    <w:rsid w:val="000B2D96"/>
    <w:rsid w:val="000B6EC1"/>
    <w:rsid w:val="000B77FC"/>
    <w:rsid w:val="000B780E"/>
    <w:rsid w:val="000B7F6B"/>
    <w:rsid w:val="000C32DA"/>
    <w:rsid w:val="000D14F3"/>
    <w:rsid w:val="000D4880"/>
    <w:rsid w:val="000D4996"/>
    <w:rsid w:val="000D5560"/>
    <w:rsid w:val="000D5BC0"/>
    <w:rsid w:val="000E37E9"/>
    <w:rsid w:val="000E74C1"/>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285"/>
    <w:rsid w:val="001B0816"/>
    <w:rsid w:val="001B0FF5"/>
    <w:rsid w:val="001B20FA"/>
    <w:rsid w:val="001B49B0"/>
    <w:rsid w:val="001B59AC"/>
    <w:rsid w:val="001B5A2E"/>
    <w:rsid w:val="001B79E4"/>
    <w:rsid w:val="001C19F6"/>
    <w:rsid w:val="001C4CCC"/>
    <w:rsid w:val="001C576D"/>
    <w:rsid w:val="001C6E1A"/>
    <w:rsid w:val="001C739C"/>
    <w:rsid w:val="001D1772"/>
    <w:rsid w:val="001E3034"/>
    <w:rsid w:val="001E786E"/>
    <w:rsid w:val="001E7C66"/>
    <w:rsid w:val="001F62E9"/>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96CCB"/>
    <w:rsid w:val="002A0473"/>
    <w:rsid w:val="002A2A5D"/>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39E"/>
    <w:rsid w:val="002F1881"/>
    <w:rsid w:val="002F59DD"/>
    <w:rsid w:val="002F7F32"/>
    <w:rsid w:val="00300A79"/>
    <w:rsid w:val="00305CFD"/>
    <w:rsid w:val="00314F91"/>
    <w:rsid w:val="003153F7"/>
    <w:rsid w:val="00316E79"/>
    <w:rsid w:val="0032097E"/>
    <w:rsid w:val="00323052"/>
    <w:rsid w:val="003301F3"/>
    <w:rsid w:val="00331AA5"/>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B57B5"/>
    <w:rsid w:val="003C4724"/>
    <w:rsid w:val="003C5754"/>
    <w:rsid w:val="003D1F52"/>
    <w:rsid w:val="003D3B59"/>
    <w:rsid w:val="003D7523"/>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72C"/>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14E11"/>
    <w:rsid w:val="00521054"/>
    <w:rsid w:val="00525EFC"/>
    <w:rsid w:val="00527E92"/>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1A9A"/>
    <w:rsid w:val="00582C58"/>
    <w:rsid w:val="00587136"/>
    <w:rsid w:val="005937EC"/>
    <w:rsid w:val="00593FB8"/>
    <w:rsid w:val="005955FE"/>
    <w:rsid w:val="0059627D"/>
    <w:rsid w:val="0059732A"/>
    <w:rsid w:val="005A6128"/>
    <w:rsid w:val="005A7414"/>
    <w:rsid w:val="005B0B8B"/>
    <w:rsid w:val="005B3261"/>
    <w:rsid w:val="005B3656"/>
    <w:rsid w:val="005C0491"/>
    <w:rsid w:val="005C3B38"/>
    <w:rsid w:val="005C52CA"/>
    <w:rsid w:val="005D0ED0"/>
    <w:rsid w:val="005D1F23"/>
    <w:rsid w:val="005E7933"/>
    <w:rsid w:val="005F304B"/>
    <w:rsid w:val="005F52FC"/>
    <w:rsid w:val="005F78B5"/>
    <w:rsid w:val="005F7A24"/>
    <w:rsid w:val="00602515"/>
    <w:rsid w:val="00604E74"/>
    <w:rsid w:val="00610890"/>
    <w:rsid w:val="006177B3"/>
    <w:rsid w:val="00620206"/>
    <w:rsid w:val="0062046A"/>
    <w:rsid w:val="00627AB0"/>
    <w:rsid w:val="0063287E"/>
    <w:rsid w:val="006336E0"/>
    <w:rsid w:val="00640EFE"/>
    <w:rsid w:val="0064764C"/>
    <w:rsid w:val="006502CD"/>
    <w:rsid w:val="00652620"/>
    <w:rsid w:val="00656CEA"/>
    <w:rsid w:val="006722BF"/>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434BB"/>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377"/>
    <w:rsid w:val="007E3ECA"/>
    <w:rsid w:val="007E5058"/>
    <w:rsid w:val="007E5A96"/>
    <w:rsid w:val="007E7E3F"/>
    <w:rsid w:val="008042B3"/>
    <w:rsid w:val="008136EF"/>
    <w:rsid w:val="00817574"/>
    <w:rsid w:val="00817A13"/>
    <w:rsid w:val="00825677"/>
    <w:rsid w:val="008271AD"/>
    <w:rsid w:val="0083147A"/>
    <w:rsid w:val="008348D6"/>
    <w:rsid w:val="008357C1"/>
    <w:rsid w:val="00836766"/>
    <w:rsid w:val="00842AEB"/>
    <w:rsid w:val="00845147"/>
    <w:rsid w:val="008455A4"/>
    <w:rsid w:val="00845A6C"/>
    <w:rsid w:val="008505C5"/>
    <w:rsid w:val="00852177"/>
    <w:rsid w:val="008554F5"/>
    <w:rsid w:val="0085614D"/>
    <w:rsid w:val="00860D10"/>
    <w:rsid w:val="00873392"/>
    <w:rsid w:val="0087568C"/>
    <w:rsid w:val="00876529"/>
    <w:rsid w:val="00876FCA"/>
    <w:rsid w:val="0088039B"/>
    <w:rsid w:val="008803FF"/>
    <w:rsid w:val="00882EB5"/>
    <w:rsid w:val="00886481"/>
    <w:rsid w:val="00886778"/>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367"/>
    <w:rsid w:val="008D272C"/>
    <w:rsid w:val="008D32E3"/>
    <w:rsid w:val="008D6359"/>
    <w:rsid w:val="008E2DE3"/>
    <w:rsid w:val="008E4405"/>
    <w:rsid w:val="00901C1B"/>
    <w:rsid w:val="00902A21"/>
    <w:rsid w:val="00907CC5"/>
    <w:rsid w:val="00912C09"/>
    <w:rsid w:val="009148F2"/>
    <w:rsid w:val="00915E51"/>
    <w:rsid w:val="0091635D"/>
    <w:rsid w:val="00920C5D"/>
    <w:rsid w:val="0092342B"/>
    <w:rsid w:val="00923EC7"/>
    <w:rsid w:val="009328D7"/>
    <w:rsid w:val="0093707F"/>
    <w:rsid w:val="00941458"/>
    <w:rsid w:val="00945646"/>
    <w:rsid w:val="0094611D"/>
    <w:rsid w:val="009461F0"/>
    <w:rsid w:val="0095331A"/>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D499B"/>
    <w:rsid w:val="009E1B0F"/>
    <w:rsid w:val="009E2AB8"/>
    <w:rsid w:val="009E2CE4"/>
    <w:rsid w:val="009F08B6"/>
    <w:rsid w:val="009F1DF6"/>
    <w:rsid w:val="009F39F5"/>
    <w:rsid w:val="009F6070"/>
    <w:rsid w:val="00A05F9F"/>
    <w:rsid w:val="00A06D2A"/>
    <w:rsid w:val="00A10B0F"/>
    <w:rsid w:val="00A1392A"/>
    <w:rsid w:val="00A14AFB"/>
    <w:rsid w:val="00A21426"/>
    <w:rsid w:val="00A23220"/>
    <w:rsid w:val="00A37D1C"/>
    <w:rsid w:val="00A37EAE"/>
    <w:rsid w:val="00A41BC7"/>
    <w:rsid w:val="00A425FA"/>
    <w:rsid w:val="00A42D44"/>
    <w:rsid w:val="00A45CFA"/>
    <w:rsid w:val="00A509E1"/>
    <w:rsid w:val="00A546E4"/>
    <w:rsid w:val="00A555F9"/>
    <w:rsid w:val="00A57FBE"/>
    <w:rsid w:val="00A6170F"/>
    <w:rsid w:val="00A73DA2"/>
    <w:rsid w:val="00A85603"/>
    <w:rsid w:val="00A8756E"/>
    <w:rsid w:val="00A90C90"/>
    <w:rsid w:val="00A9384A"/>
    <w:rsid w:val="00AA0563"/>
    <w:rsid w:val="00AA48BD"/>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21B"/>
    <w:rsid w:val="00BD4C6A"/>
    <w:rsid w:val="00BD5024"/>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47D0"/>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00E"/>
    <w:rsid w:val="00CA76D6"/>
    <w:rsid w:val="00CA7DD2"/>
    <w:rsid w:val="00CB044D"/>
    <w:rsid w:val="00CB2820"/>
    <w:rsid w:val="00CB642D"/>
    <w:rsid w:val="00CC13AD"/>
    <w:rsid w:val="00CC2373"/>
    <w:rsid w:val="00CD17F4"/>
    <w:rsid w:val="00CD4849"/>
    <w:rsid w:val="00CE55DE"/>
    <w:rsid w:val="00CF11A4"/>
    <w:rsid w:val="00CF561D"/>
    <w:rsid w:val="00CF5A0F"/>
    <w:rsid w:val="00CF6DB0"/>
    <w:rsid w:val="00CF7853"/>
    <w:rsid w:val="00D01FB8"/>
    <w:rsid w:val="00D03216"/>
    <w:rsid w:val="00D05E3A"/>
    <w:rsid w:val="00D14988"/>
    <w:rsid w:val="00D1559F"/>
    <w:rsid w:val="00D20079"/>
    <w:rsid w:val="00D20C64"/>
    <w:rsid w:val="00D217D0"/>
    <w:rsid w:val="00D23F17"/>
    <w:rsid w:val="00D25F1D"/>
    <w:rsid w:val="00D27914"/>
    <w:rsid w:val="00D31BEC"/>
    <w:rsid w:val="00D32F04"/>
    <w:rsid w:val="00D34AE9"/>
    <w:rsid w:val="00D34F0E"/>
    <w:rsid w:val="00D40A7A"/>
    <w:rsid w:val="00D40D2C"/>
    <w:rsid w:val="00D40E3B"/>
    <w:rsid w:val="00D41038"/>
    <w:rsid w:val="00D4200A"/>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5882"/>
    <w:rsid w:val="00F06F38"/>
    <w:rsid w:val="00F10635"/>
    <w:rsid w:val="00F12ADF"/>
    <w:rsid w:val="00F1469E"/>
    <w:rsid w:val="00F21636"/>
    <w:rsid w:val="00F21A55"/>
    <w:rsid w:val="00F22E3D"/>
    <w:rsid w:val="00F23242"/>
    <w:rsid w:val="00F238AB"/>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0C46"/>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590B6E"/>
  <w15:docId w15:val="{00F79E9D-E4D6-42E4-86BB-A85DC163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rsid w:val="00BC6EA4"/>
    <w:rPr>
      <w:b/>
      <w:sz w:val="22"/>
      <w:szCs w:val="28"/>
    </w:rPr>
  </w:style>
  <w:style w:type="paragraph" w:customStyle="1" w:styleId="spParagraph">
    <w:name w:val="spParagraph"/>
    <w:uiPriority w:val="1"/>
    <w:qFormat/>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qFormat/>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9542@att.com" TargetMode="External"/><Relationship Id="rId18" Type="http://schemas.openxmlformats.org/officeDocument/2006/relationships/hyperlink" Target="http://dnr.wi.gov/topic/invasives/disinfection.htm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dailey@atcllc.com" TargetMode="External"/><Relationship Id="rId17" Type="http://schemas.openxmlformats.org/officeDocument/2006/relationships/hyperlink" Target="mailto:adam.psicihulis@we-energies.com" TargetMode="External"/><Relationship Id="rId2" Type="http://schemas.openxmlformats.org/officeDocument/2006/relationships/customXml" Target="../customXml/item2.xml"/><Relationship Id="rId16" Type="http://schemas.openxmlformats.org/officeDocument/2006/relationships/hyperlink" Target="mailto:scott.holstein@we-energi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rik.borgen@tdstelecom.com" TargetMode="External"/><Relationship Id="rId10" Type="http://schemas.openxmlformats.org/officeDocument/2006/relationships/endnotes" Target="endnotes.xml"/><Relationship Id="rId19" Type="http://schemas.openxmlformats.org/officeDocument/2006/relationships/hyperlink" Target="http://dnr.wi.gov/topic/stormwater/standards/const_standard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k.borgen@tdstelecom.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1162710.02\Doc\PS&amp;E%20Draft\WisDOT%20Original%20Forms\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5575A777AA472F904667F9CB2158FD"/>
        <w:category>
          <w:name w:val="General"/>
          <w:gallery w:val="placeholder"/>
        </w:category>
        <w:types>
          <w:type w:val="bbPlcHdr"/>
        </w:types>
        <w:behaviors>
          <w:behavior w:val="content"/>
        </w:behaviors>
        <w:guid w:val="{5A251D15-E345-414A-B872-12151A9C178C}"/>
      </w:docPartPr>
      <w:docPartBody>
        <w:p w:rsidR="00A3116E" w:rsidRDefault="00D329C8" w:rsidP="00D329C8">
          <w:pPr>
            <w:pStyle w:val="B75575A777AA472F904667F9CB2158FD"/>
          </w:pPr>
          <w:r>
            <w:rPr>
              <w:rStyle w:val="PlaceholderText"/>
            </w:rPr>
            <w:t>Choose an item.</w:t>
          </w:r>
        </w:p>
      </w:docPartBody>
    </w:docPart>
    <w:docPart>
      <w:docPartPr>
        <w:name w:val="D465950279124083A4BCE85287DD34BD"/>
        <w:category>
          <w:name w:val="General"/>
          <w:gallery w:val="placeholder"/>
        </w:category>
        <w:types>
          <w:type w:val="bbPlcHdr"/>
        </w:types>
        <w:behaviors>
          <w:behavior w:val="content"/>
        </w:behaviors>
        <w:guid w:val="{035CA0EE-E8EB-43BD-A86D-E5F871604D03}"/>
      </w:docPartPr>
      <w:docPartBody>
        <w:p w:rsidR="000332A1" w:rsidRDefault="00A3116E" w:rsidP="00A3116E">
          <w:pPr>
            <w:pStyle w:val="D465950279124083A4BCE85287DD34BD"/>
          </w:pPr>
          <w:r w:rsidRPr="008E13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C8"/>
    <w:rsid w:val="000332A1"/>
    <w:rsid w:val="00A3116E"/>
    <w:rsid w:val="00D3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3116E"/>
    <w:rPr>
      <w:color w:val="808080"/>
    </w:rPr>
  </w:style>
  <w:style w:type="paragraph" w:customStyle="1" w:styleId="5DE2A919D5C54F508C45368354763F4D">
    <w:name w:val="5DE2A919D5C54F508C45368354763F4D"/>
    <w:rsid w:val="00D329C8"/>
  </w:style>
  <w:style w:type="paragraph" w:customStyle="1" w:styleId="ACB612D9D60D49659A48F20A21AE5CB5">
    <w:name w:val="ACB612D9D60D49659A48F20A21AE5CB5"/>
    <w:rsid w:val="00D329C8"/>
  </w:style>
  <w:style w:type="paragraph" w:customStyle="1" w:styleId="B75575A777AA472F904667F9CB2158FD">
    <w:name w:val="B75575A777AA472F904667F9CB2158FD"/>
    <w:rsid w:val="00D329C8"/>
  </w:style>
  <w:style w:type="paragraph" w:customStyle="1" w:styleId="655E392A63C54AE1B249C68CB5814E9B">
    <w:name w:val="655E392A63C54AE1B249C68CB5814E9B"/>
    <w:rsid w:val="00D329C8"/>
  </w:style>
  <w:style w:type="paragraph" w:customStyle="1" w:styleId="D465950279124083A4BCE85287DD34BD">
    <w:name w:val="D465950279124083A4BCE85287DD34BD"/>
    <w:rsid w:val="00A31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a8b72882-1d02-4704-8464-4e9c6e9dc531"/>
    <ds:schemaRef ds:uri="http://purl.org/dc/terms/"/>
    <ds:schemaRef ds:uri="http://purl.org/dc/dcmitype/"/>
    <ds:schemaRef ds:uri="http://www.w3.org/XML/1998/namespace"/>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0AEFE682-81AD-402D-8218-1BA4EE2D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F84A7-D61C-43A3-BD8E-E48C4B1D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214</TotalTime>
  <Pages>6</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Axt, Andrew</dc:creator>
  <cp:keywords>STSP, template, special provisions, building blocks</cp:keywords>
  <cp:lastModifiedBy>Manske, Caleb</cp:lastModifiedBy>
  <cp:revision>10</cp:revision>
  <cp:lastPrinted>2013-06-26T16:11:00Z</cp:lastPrinted>
  <dcterms:created xsi:type="dcterms:W3CDTF">2019-12-11T15:28:00Z</dcterms:created>
  <dcterms:modified xsi:type="dcterms:W3CDTF">2020-01-24T20:31:00Z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