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9DEE04" w14:textId="77777777" w:rsidR="00631DFD" w:rsidRPr="00F4129E" w:rsidRDefault="00631DFD" w:rsidP="00631DFD">
      <w:pPr>
        <w:pStyle w:val="wiSection"/>
      </w:pPr>
      <w:bookmarkStart w:id="0" w:name="_Toc91074745"/>
      <w:proofErr w:type="gramStart"/>
      <w:r w:rsidRPr="00F4129E">
        <w:t>460  Hot</w:t>
      </w:r>
      <w:proofErr w:type="gramEnd"/>
      <w:r w:rsidRPr="00F4129E">
        <w:t xml:space="preserve"> Mix Asphalt Pavement</w:t>
      </w:r>
      <w:bookmarkEnd w:id="0"/>
    </w:p>
    <w:p w14:paraId="42C0D177" w14:textId="77777777" w:rsidR="00631DFD" w:rsidRPr="00F4129E" w:rsidRDefault="00631DFD" w:rsidP="00631DFD">
      <w:pPr>
        <w:pStyle w:val="wiHeading1"/>
      </w:pPr>
      <w:proofErr w:type="gramStart"/>
      <w:r w:rsidRPr="00F4129E">
        <w:t>460.1  Description</w:t>
      </w:r>
      <w:proofErr w:type="gramEnd"/>
    </w:p>
    <w:p w14:paraId="7A309D0A" w14:textId="77777777" w:rsidR="00631DFD" w:rsidRPr="00F4129E" w:rsidRDefault="00631DFD" w:rsidP="00631DFD">
      <w:pPr>
        <w:pStyle w:val="wiParagraph"/>
      </w:pPr>
      <w:r w:rsidRPr="00F4129E">
        <w:tab/>
      </w:r>
      <w:r w:rsidRPr="00F4129E">
        <w:rPr>
          <w:rStyle w:val="wiParagraphNumber"/>
        </w:rPr>
        <w:t>(1)</w:t>
      </w:r>
      <w:r w:rsidRPr="00F4129E">
        <w:tab/>
        <w:t xml:space="preserve">This section describes </w:t>
      </w:r>
      <w:proofErr w:type="spellStart"/>
      <w:r w:rsidRPr="00F4129E">
        <w:t>HMA</w:t>
      </w:r>
      <w:proofErr w:type="spellEnd"/>
      <w:r w:rsidRPr="00F4129E">
        <w:t xml:space="preserve"> mixture design, providing and maintaining a quality management program for </w:t>
      </w:r>
      <w:proofErr w:type="spellStart"/>
      <w:r w:rsidRPr="00F4129E">
        <w:t>HMA</w:t>
      </w:r>
      <w:proofErr w:type="spellEnd"/>
      <w:r w:rsidRPr="00F4129E">
        <w:t xml:space="preserve"> mixtures, and constructing </w:t>
      </w:r>
      <w:proofErr w:type="spellStart"/>
      <w:r w:rsidRPr="00F4129E">
        <w:t>HMA</w:t>
      </w:r>
      <w:proofErr w:type="spellEnd"/>
      <w:r w:rsidRPr="00F4129E">
        <w:t xml:space="preserve"> pavement. Unless specifically indicated otherwise, references within 460 to </w:t>
      </w:r>
      <w:proofErr w:type="spellStart"/>
      <w:r w:rsidRPr="00F4129E">
        <w:t>HMA</w:t>
      </w:r>
      <w:proofErr w:type="spellEnd"/>
      <w:r w:rsidRPr="00F4129E">
        <w:t xml:space="preserve"> also apply to WMA and </w:t>
      </w:r>
      <w:proofErr w:type="spellStart"/>
      <w:r w:rsidRPr="00F4129E">
        <w:t>SMA</w:t>
      </w:r>
      <w:proofErr w:type="spellEnd"/>
      <w:r w:rsidRPr="00F4129E">
        <w:t>.</w:t>
      </w:r>
    </w:p>
    <w:p w14:paraId="36058E88" w14:textId="77777777" w:rsidR="00631DFD" w:rsidRPr="00F4129E" w:rsidRDefault="00631DFD" w:rsidP="00631DFD">
      <w:pPr>
        <w:pStyle w:val="wiHeading1"/>
      </w:pPr>
      <w:proofErr w:type="gramStart"/>
      <w:r w:rsidRPr="00F4129E">
        <w:t>460.2  Materials</w:t>
      </w:r>
      <w:proofErr w:type="gramEnd"/>
    </w:p>
    <w:p w14:paraId="0E39C1AA" w14:textId="77777777" w:rsidR="00631DFD" w:rsidRPr="00F4129E" w:rsidRDefault="00631DFD" w:rsidP="00631DFD">
      <w:pPr>
        <w:pStyle w:val="wiHeading2"/>
      </w:pPr>
      <w:proofErr w:type="gramStart"/>
      <w:r w:rsidRPr="00F4129E">
        <w:t>460.2.1  General</w:t>
      </w:r>
      <w:proofErr w:type="gramEnd"/>
    </w:p>
    <w:p w14:paraId="58C74A75" w14:textId="77777777" w:rsidR="00631DFD" w:rsidRPr="00F4129E" w:rsidRDefault="00631DFD" w:rsidP="00631DFD">
      <w:pPr>
        <w:pStyle w:val="wiParagraph"/>
      </w:pPr>
      <w:r w:rsidRPr="00F4129E">
        <w:tab/>
      </w:r>
      <w:r w:rsidRPr="00F4129E">
        <w:rPr>
          <w:rStyle w:val="wiParagraphNumber"/>
        </w:rPr>
        <w:t>(1)</w:t>
      </w:r>
      <w:r w:rsidRPr="00F4129E">
        <w:tab/>
        <w:t xml:space="preserve">Furnish a homogeneous mixture of coarse aggregate, fine aggregate, mineral filler if required, </w:t>
      </w:r>
      <w:proofErr w:type="spellStart"/>
      <w:r w:rsidRPr="00F4129E">
        <w:t>SMA</w:t>
      </w:r>
      <w:proofErr w:type="spellEnd"/>
      <w:r w:rsidRPr="00F4129E">
        <w:t xml:space="preserve"> stabilizer if required, recycled material if used, warm mix asphalt additive or process if used, and asphaltic binder. Design mixtures conforming to table 460-1 and table 460-2.</w:t>
      </w:r>
    </w:p>
    <w:p w14:paraId="70805114" w14:textId="77777777" w:rsidR="00631DFD" w:rsidRPr="00F4129E" w:rsidRDefault="00631DFD" w:rsidP="00631DFD">
      <w:pPr>
        <w:pStyle w:val="wiParagraph"/>
      </w:pPr>
      <w:r w:rsidRPr="00F4129E">
        <w:tab/>
      </w:r>
      <w:r w:rsidRPr="00F4129E">
        <w:rPr>
          <w:rStyle w:val="wiParagraphNumber"/>
        </w:rPr>
        <w:t>(2)</w:t>
      </w:r>
      <w:r w:rsidRPr="00F4129E">
        <w:tab/>
        <w:t xml:space="preserve">Determine the target </w:t>
      </w:r>
      <w:proofErr w:type="spellStart"/>
      <w:r w:rsidRPr="00F4129E">
        <w:t>JMF</w:t>
      </w:r>
      <w:proofErr w:type="spellEnd"/>
      <w:r w:rsidRPr="00F4129E">
        <w:t xml:space="preserve"> asphalt binder content for production from the mixture design data corresponding to 3.0 percent air voids (97 percent </w:t>
      </w:r>
      <w:proofErr w:type="spellStart"/>
      <w:r w:rsidRPr="00F4129E">
        <w:t>Gmm</w:t>
      </w:r>
      <w:proofErr w:type="spellEnd"/>
      <w:r w:rsidRPr="00F4129E">
        <w:t>) target at the design number of gyrations (</w:t>
      </w:r>
      <w:proofErr w:type="spellStart"/>
      <w:r w:rsidRPr="00F4129E">
        <w:t>Ndes</w:t>
      </w:r>
      <w:proofErr w:type="spellEnd"/>
      <w:r w:rsidRPr="00F4129E">
        <w:t xml:space="preserve">). Add liquid asphalt to achieve the required air voids at </w:t>
      </w:r>
      <w:proofErr w:type="spellStart"/>
      <w:r w:rsidRPr="00F4129E">
        <w:t>Ndes</w:t>
      </w:r>
      <w:proofErr w:type="spellEnd"/>
      <w:r w:rsidRPr="00F4129E">
        <w:t>.</w:t>
      </w:r>
    </w:p>
    <w:p w14:paraId="05B35FA9" w14:textId="77777777" w:rsidR="00631DFD" w:rsidRPr="00F4129E" w:rsidRDefault="00631DFD" w:rsidP="00631DFD">
      <w:pPr>
        <w:pStyle w:val="wiParagraph"/>
      </w:pPr>
      <w:r w:rsidRPr="00F4129E">
        <w:tab/>
      </w:r>
      <w:r w:rsidRPr="00F4129E">
        <w:rPr>
          <w:rStyle w:val="wiParagraphNumber"/>
        </w:rPr>
        <w:t>(3)</w:t>
      </w:r>
      <w:r w:rsidRPr="00F4129E">
        <w:tab/>
        <w:t xml:space="preserve">For </w:t>
      </w:r>
      <w:proofErr w:type="spellStart"/>
      <w:r w:rsidRPr="00F4129E">
        <w:t>SMA</w:t>
      </w:r>
      <w:proofErr w:type="spellEnd"/>
      <w:r w:rsidRPr="00F4129E">
        <w:t xml:space="preserve">, determine the target </w:t>
      </w:r>
      <w:proofErr w:type="spellStart"/>
      <w:r w:rsidRPr="00F4129E">
        <w:t>JMF</w:t>
      </w:r>
      <w:proofErr w:type="spellEnd"/>
      <w:r w:rsidRPr="00F4129E">
        <w:t xml:space="preserve"> asphalt binder content for production from the mixture design data corresponding to 4.5 percent air voids (95.5 percent </w:t>
      </w:r>
      <w:proofErr w:type="spellStart"/>
      <w:r w:rsidRPr="00F4129E">
        <w:t>Gmm</w:t>
      </w:r>
      <w:proofErr w:type="spellEnd"/>
      <w:r w:rsidRPr="00F4129E">
        <w:t xml:space="preserve">) target at </w:t>
      </w:r>
      <w:proofErr w:type="spellStart"/>
      <w:r w:rsidRPr="00F4129E">
        <w:t>Ndes</w:t>
      </w:r>
      <w:proofErr w:type="spellEnd"/>
      <w:r w:rsidRPr="00F4129E">
        <w:t>.</w:t>
      </w:r>
    </w:p>
    <w:p w14:paraId="4D697F61" w14:textId="77777777" w:rsidR="00631DFD" w:rsidRPr="00F4129E" w:rsidRDefault="00631DFD" w:rsidP="00631DFD">
      <w:pPr>
        <w:pStyle w:val="wiHeading2"/>
      </w:pPr>
      <w:proofErr w:type="gramStart"/>
      <w:r w:rsidRPr="00F4129E">
        <w:t>460.2.2  Aggregates</w:t>
      </w:r>
      <w:proofErr w:type="gramEnd"/>
    </w:p>
    <w:p w14:paraId="634893CA" w14:textId="77777777" w:rsidR="00631DFD" w:rsidRPr="00F4129E" w:rsidRDefault="00631DFD" w:rsidP="00631DFD">
      <w:pPr>
        <w:pStyle w:val="wiHeading3"/>
      </w:pPr>
      <w:proofErr w:type="gramStart"/>
      <w:r w:rsidRPr="00F4129E">
        <w:t>460.2.2.1  General</w:t>
      </w:r>
      <w:proofErr w:type="gramEnd"/>
    </w:p>
    <w:p w14:paraId="725A8745" w14:textId="77777777" w:rsidR="00631DFD" w:rsidRPr="00F4129E" w:rsidRDefault="00631DFD" w:rsidP="00631DFD">
      <w:pPr>
        <w:pStyle w:val="wiParagraph"/>
      </w:pPr>
      <w:r w:rsidRPr="00F4129E">
        <w:tab/>
      </w:r>
      <w:r w:rsidRPr="00F4129E">
        <w:rPr>
          <w:rStyle w:val="wiParagraphNumber"/>
        </w:rPr>
        <w:t>(1)</w:t>
      </w:r>
      <w:r w:rsidRPr="00F4129E">
        <w:tab/>
        <w:t xml:space="preserve">Provide coarse aggregates from a department-approved source as specified under </w:t>
      </w:r>
      <w:r w:rsidRPr="00F4129E">
        <w:rPr>
          <w:rStyle w:val="wiLink"/>
        </w:rPr>
        <w:t>106.3.4.2</w:t>
      </w:r>
      <w:r w:rsidRPr="00F4129E">
        <w:t xml:space="preserve">. Obtain the engineer's approval of the aggregates before producing </w:t>
      </w:r>
      <w:proofErr w:type="spellStart"/>
      <w:r w:rsidRPr="00F4129E">
        <w:t>HMA</w:t>
      </w:r>
      <w:proofErr w:type="spellEnd"/>
      <w:r w:rsidRPr="00F4129E">
        <w:t xml:space="preserve"> mixtures.</w:t>
      </w:r>
    </w:p>
    <w:p w14:paraId="16044892" w14:textId="2D7BCEBD" w:rsidR="00631DFD" w:rsidRPr="00F4129E" w:rsidRDefault="00631DFD" w:rsidP="00631DFD">
      <w:pPr>
        <w:pStyle w:val="wiParagraph"/>
      </w:pPr>
      <w:r w:rsidRPr="00F4129E">
        <w:tab/>
      </w:r>
      <w:r w:rsidRPr="00F4129E">
        <w:rPr>
          <w:rStyle w:val="wiParagraphNumber"/>
        </w:rPr>
        <w:t>(2)</w:t>
      </w:r>
      <w:r w:rsidRPr="00F4129E">
        <w:tab/>
        <w:t>Furnish an aggregate blend consisting of hard durable particles containing no more than a combined total of one percent, by weight, of lumps of clay, loam, shale, soft particles, organic matter, adherent coatings, and other deleterious material when tested according to</w:t>
      </w:r>
      <w:r w:rsidR="001E2660">
        <w:t xml:space="preserve"> </w:t>
      </w:r>
      <w:r w:rsidR="00884851" w:rsidRPr="00F85412">
        <w:rPr>
          <w:rStyle w:val="wiLink"/>
        </w:rPr>
        <w:t>AASHTO</w:t>
      </w:r>
      <w:r w:rsidRPr="00F85412">
        <w:rPr>
          <w:rStyle w:val="wiLink"/>
        </w:rPr>
        <w:t xml:space="preserve"> T112</w:t>
      </w:r>
      <w:r w:rsidRPr="00F4129E">
        <w:t xml:space="preserve">. Ensure that the blend conforms to the percent fractured faces and flat </w:t>
      </w:r>
      <w:r w:rsidR="00F0386A">
        <w:t>and</w:t>
      </w:r>
      <w:r w:rsidRPr="00F4129E">
        <w:t xml:space="preserve"> elongated requirements of </w:t>
      </w:r>
      <w:r w:rsidR="00884851">
        <w:t>T</w:t>
      </w:r>
      <w:r w:rsidRPr="00F4129E">
        <w:t xml:space="preserve">able 460-2. If the blend contains materials from different deposits or sources, ensure that material from each deposit or source has an LA wear percent loss meeting the requirements of </w:t>
      </w:r>
      <w:r w:rsidR="00884851">
        <w:t>T</w:t>
      </w:r>
      <w:r w:rsidRPr="00F4129E">
        <w:t>able 460-2.</w:t>
      </w:r>
    </w:p>
    <w:p w14:paraId="3D60CF19" w14:textId="0FDF497F" w:rsidR="00631DFD" w:rsidRPr="00F4129E" w:rsidRDefault="00631DFD" w:rsidP="00631DFD">
      <w:pPr>
        <w:pStyle w:val="wiParagraph"/>
      </w:pPr>
      <w:r w:rsidRPr="00F4129E">
        <w:tab/>
      </w:r>
      <w:r w:rsidRPr="00F4129E">
        <w:rPr>
          <w:rStyle w:val="wiParagraphNumber"/>
        </w:rPr>
        <w:t>(3)</w:t>
      </w:r>
      <w:r w:rsidRPr="00F4129E">
        <w:tab/>
        <w:t xml:space="preserve">Furnish mineral filler conforming to </w:t>
      </w:r>
      <w:r w:rsidRPr="00F0386A">
        <w:rPr>
          <w:rStyle w:val="wiLink"/>
        </w:rPr>
        <w:t>AASHTO M17</w:t>
      </w:r>
      <w:r w:rsidRPr="00F4129E">
        <w:t xml:space="preserve">. Ensure that it is sufficiently dry to flow freely and is essentially free from agglomerations. Ensure that filler is free from organic impurities and has a plastic index of 4 or less when tested according to </w:t>
      </w:r>
      <w:r w:rsidR="001E2660" w:rsidRPr="00F0386A">
        <w:rPr>
          <w:rStyle w:val="wiLink"/>
        </w:rPr>
        <w:t>WTM</w:t>
      </w:r>
      <w:r w:rsidRPr="00F0386A">
        <w:rPr>
          <w:rStyle w:val="wiLink"/>
        </w:rPr>
        <w:t xml:space="preserve"> T89</w:t>
      </w:r>
      <w:r w:rsidRPr="00F4129E">
        <w:t xml:space="preserve"> and </w:t>
      </w:r>
      <w:r w:rsidRPr="00F0386A">
        <w:rPr>
          <w:rStyle w:val="wiLink"/>
        </w:rPr>
        <w:t>AASHTO T90</w:t>
      </w:r>
      <w:r w:rsidRPr="00F4129E">
        <w:t>.</w:t>
      </w:r>
    </w:p>
    <w:p w14:paraId="45F5C58D" w14:textId="77777777" w:rsidR="00631DFD" w:rsidRPr="00F4129E" w:rsidRDefault="00631DFD" w:rsidP="00631DFD">
      <w:pPr>
        <w:pStyle w:val="wiHeading3"/>
      </w:pPr>
      <w:proofErr w:type="gramStart"/>
      <w:r w:rsidRPr="00F4129E">
        <w:t>460.2.2.2  Freeze</w:t>
      </w:r>
      <w:proofErr w:type="gramEnd"/>
      <w:r w:rsidRPr="00F4129E">
        <w:t>-Thaw Soundness</w:t>
      </w:r>
    </w:p>
    <w:p w14:paraId="00A89967" w14:textId="77777777" w:rsidR="00631DFD" w:rsidRPr="00F4129E" w:rsidRDefault="00631DFD" w:rsidP="00631DFD">
      <w:pPr>
        <w:pStyle w:val="wiParagraph"/>
      </w:pPr>
      <w:r w:rsidRPr="00F4129E">
        <w:tab/>
      </w:r>
      <w:r w:rsidRPr="00F4129E">
        <w:rPr>
          <w:rStyle w:val="wiParagraphNumber"/>
        </w:rPr>
        <w:t>(1)</w:t>
      </w:r>
      <w:r w:rsidRPr="00F4129E">
        <w:tab/>
        <w:t xml:space="preserve">If the aggregate blend contains materials from different deposits or sources, ensure that material from each deposit or source has a freeze-thaw loss percentage meeting the requirements of table 460-2 and </w:t>
      </w:r>
      <w:r w:rsidRPr="00F4129E">
        <w:rPr>
          <w:rStyle w:val="wiLink"/>
        </w:rPr>
        <w:t>106.3.4.2.2.2</w:t>
      </w:r>
      <w:r w:rsidRPr="00F4129E">
        <w:t>.</w:t>
      </w:r>
    </w:p>
    <w:p w14:paraId="03244779" w14:textId="6D4432B2" w:rsidR="00631DFD" w:rsidRDefault="00631DFD" w:rsidP="00631DFD">
      <w:pPr>
        <w:pStyle w:val="wiHeading3"/>
      </w:pPr>
      <w:bookmarkStart w:id="1" w:name="_Hlk77838900"/>
      <w:bookmarkStart w:id="2" w:name="_Hlk77777973"/>
      <w:bookmarkStart w:id="3" w:name="_Hlk82674118"/>
      <w:proofErr w:type="gramStart"/>
      <w:r w:rsidRPr="00F4129E">
        <w:t>460.2.2.3  Aggregate</w:t>
      </w:r>
      <w:proofErr w:type="gramEnd"/>
      <w:r w:rsidRPr="00F4129E">
        <w:t xml:space="preserve"> Gradation Master Range</w:t>
      </w:r>
    </w:p>
    <w:p w14:paraId="21D6A3A8" w14:textId="77777777" w:rsidR="00631DFD" w:rsidRPr="00F4129E" w:rsidRDefault="00631DFD" w:rsidP="00631DFD">
      <w:pPr>
        <w:pStyle w:val="wiParagraph"/>
      </w:pPr>
      <w:bookmarkStart w:id="4" w:name="_Hlk77838957"/>
      <w:r w:rsidRPr="00F4129E">
        <w:tab/>
      </w:r>
      <w:r w:rsidRPr="00F4129E">
        <w:rPr>
          <w:rStyle w:val="wiParagraphNumber"/>
        </w:rPr>
        <w:t>(1)</w:t>
      </w:r>
      <w:r w:rsidRPr="00F4129E">
        <w:tab/>
        <w:t xml:space="preserve">Ensure that the aggregate blend, including recycled material and mineral filler, conforms to the </w:t>
      </w:r>
      <w:proofErr w:type="spellStart"/>
      <w:r w:rsidRPr="00F4129E">
        <w:t>gradation</w:t>
      </w:r>
      <w:proofErr w:type="spellEnd"/>
      <w:r w:rsidRPr="00F4129E">
        <w:t xml:space="preserve"> requirements in table 460-1. The values listed are design limits; production values may exceed those limits.</w:t>
      </w:r>
    </w:p>
    <w:bookmarkEnd w:id="1"/>
    <w:p w14:paraId="42512E70" w14:textId="77777777" w:rsidR="00631DFD" w:rsidRPr="00F4129E" w:rsidRDefault="00631DFD" w:rsidP="00631DFD">
      <w:pPr>
        <w:pStyle w:val="wiTableTitle"/>
      </w:pPr>
      <w:r w:rsidRPr="00F4129E">
        <w:lastRenderedPageBreak/>
        <w:t>TABLE 460-</w:t>
      </w:r>
      <w:proofErr w:type="gramStart"/>
      <w:r w:rsidRPr="00F4129E">
        <w:t>1  AGGREGATE</w:t>
      </w:r>
      <w:proofErr w:type="gramEnd"/>
      <w:r w:rsidRPr="00F4129E">
        <w:t xml:space="preserve"> GRADATION MASTER RANGE AND VMA REQUIREMENTS</w:t>
      </w:r>
    </w:p>
    <w:p w14:paraId="3F6F5754" w14:textId="1AA9FED6" w:rsidR="00631DFD" w:rsidRDefault="00631DFD" w:rsidP="00631DFD">
      <w:pPr>
        <w:pStyle w:val="wiTableBuffer"/>
      </w:pPr>
    </w:p>
    <w:p w14:paraId="06A210B1" w14:textId="77777777" w:rsidR="007062A8" w:rsidRPr="00F4129E" w:rsidRDefault="007062A8" w:rsidP="00631DFD">
      <w:pPr>
        <w:pStyle w:val="wiTableBuffe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000" w:firstRow="0" w:lastRow="0" w:firstColumn="0" w:lastColumn="0" w:noHBand="0" w:noVBand="0"/>
      </w:tblPr>
      <w:tblGrid>
        <w:gridCol w:w="1081"/>
        <w:gridCol w:w="1034"/>
        <w:gridCol w:w="1034"/>
        <w:gridCol w:w="1035"/>
        <w:gridCol w:w="1035"/>
        <w:gridCol w:w="1035"/>
        <w:gridCol w:w="1035"/>
        <w:gridCol w:w="1035"/>
        <w:gridCol w:w="1036"/>
      </w:tblGrid>
      <w:tr w:rsidR="00631DFD" w:rsidRPr="00F4129E" w14:paraId="27036AFF" w14:textId="77777777" w:rsidTr="00E04290">
        <w:trPr>
          <w:jc w:val="center"/>
        </w:trPr>
        <w:tc>
          <w:tcPr>
            <w:tcW w:w="1081" w:type="dxa"/>
            <w:vMerge w:val="restart"/>
            <w:shd w:val="clear" w:color="auto" w:fill="D9D9D9" w:themeFill="background1" w:themeFillShade="D9"/>
            <w:vAlign w:val="center"/>
          </w:tcPr>
          <w:p w14:paraId="2D7606C9" w14:textId="77777777" w:rsidR="00631DFD" w:rsidRPr="00F4129E" w:rsidRDefault="00631DFD" w:rsidP="003075FF">
            <w:pPr>
              <w:pStyle w:val="wiTableUndefined"/>
            </w:pPr>
            <w:r w:rsidRPr="00F4129E">
              <w:t>SIEVE</w:t>
            </w:r>
          </w:p>
        </w:tc>
        <w:tc>
          <w:tcPr>
            <w:tcW w:w="8279" w:type="dxa"/>
            <w:gridSpan w:val="8"/>
            <w:shd w:val="clear" w:color="auto" w:fill="D9D9D9" w:themeFill="background1" w:themeFillShade="D9"/>
            <w:vAlign w:val="center"/>
          </w:tcPr>
          <w:p w14:paraId="23EF1B9F" w14:textId="77777777" w:rsidR="00631DFD" w:rsidRPr="00F4129E" w:rsidRDefault="00631DFD" w:rsidP="00D03502">
            <w:pPr>
              <w:pStyle w:val="wiTableUndefined"/>
              <w:spacing w:before="20" w:after="20"/>
            </w:pPr>
            <w:r w:rsidRPr="00F4129E">
              <w:t>PERCENT PASSING DESIGNATED SIEVES</w:t>
            </w:r>
          </w:p>
        </w:tc>
      </w:tr>
      <w:tr w:rsidR="00631DFD" w:rsidRPr="00F4129E" w14:paraId="36775AF5" w14:textId="77777777" w:rsidTr="00E04290">
        <w:trPr>
          <w:jc w:val="center"/>
        </w:trPr>
        <w:tc>
          <w:tcPr>
            <w:tcW w:w="1081" w:type="dxa"/>
            <w:vMerge/>
            <w:shd w:val="clear" w:color="auto" w:fill="D9D9D9" w:themeFill="background1" w:themeFillShade="D9"/>
            <w:vAlign w:val="center"/>
          </w:tcPr>
          <w:p w14:paraId="492C7002" w14:textId="77777777" w:rsidR="00631DFD" w:rsidRPr="00F4129E" w:rsidRDefault="00631DFD" w:rsidP="00D03502">
            <w:pPr>
              <w:pStyle w:val="wiTableUndefined"/>
              <w:spacing w:before="20" w:after="20"/>
            </w:pPr>
          </w:p>
        </w:tc>
        <w:tc>
          <w:tcPr>
            <w:tcW w:w="8279" w:type="dxa"/>
            <w:gridSpan w:val="8"/>
            <w:shd w:val="clear" w:color="auto" w:fill="D9D9D9" w:themeFill="background1" w:themeFillShade="D9"/>
            <w:vAlign w:val="center"/>
          </w:tcPr>
          <w:p w14:paraId="48D1DF7B" w14:textId="77777777" w:rsidR="00631DFD" w:rsidRPr="00F4129E" w:rsidRDefault="00631DFD" w:rsidP="00D03502">
            <w:pPr>
              <w:pStyle w:val="wiTableUndefined"/>
              <w:spacing w:before="20" w:after="20"/>
            </w:pPr>
            <w:r w:rsidRPr="00F4129E">
              <w:t>NOMINAL SIZE</w:t>
            </w:r>
          </w:p>
        </w:tc>
      </w:tr>
      <w:tr w:rsidR="00631DFD" w:rsidRPr="00F4129E" w14:paraId="49DA7C63" w14:textId="77777777" w:rsidTr="00E04290">
        <w:trPr>
          <w:jc w:val="center"/>
        </w:trPr>
        <w:tc>
          <w:tcPr>
            <w:tcW w:w="1081" w:type="dxa"/>
            <w:vMerge/>
            <w:shd w:val="clear" w:color="auto" w:fill="D9D9D9" w:themeFill="background1" w:themeFillShade="D9"/>
            <w:vAlign w:val="center"/>
          </w:tcPr>
          <w:p w14:paraId="1BE94AB7" w14:textId="77777777" w:rsidR="00631DFD" w:rsidRPr="00F4129E" w:rsidRDefault="00631DFD" w:rsidP="00D03502">
            <w:pPr>
              <w:pStyle w:val="wiTableUndefined"/>
              <w:spacing w:before="20" w:after="20"/>
            </w:pPr>
          </w:p>
        </w:tc>
        <w:tc>
          <w:tcPr>
            <w:tcW w:w="1034" w:type="dxa"/>
            <w:shd w:val="clear" w:color="auto" w:fill="D9D9D9" w:themeFill="background1" w:themeFillShade="D9"/>
            <w:vAlign w:val="center"/>
          </w:tcPr>
          <w:p w14:paraId="5FE3FC8F" w14:textId="77777777" w:rsidR="00631DFD" w:rsidRPr="00F4129E" w:rsidRDefault="00631DFD" w:rsidP="003075FF">
            <w:pPr>
              <w:pStyle w:val="wiTableUndefined"/>
            </w:pPr>
            <w:r w:rsidRPr="00F4129E">
              <w:t>No. 1</w:t>
            </w:r>
            <w:r w:rsidRPr="00F4129E">
              <w:br/>
              <w:t>(37.5 mm)</w:t>
            </w:r>
            <w:r w:rsidRPr="00F4129E">
              <w:br/>
              <w:t>(1 1/2 inch)</w:t>
            </w:r>
          </w:p>
        </w:tc>
        <w:tc>
          <w:tcPr>
            <w:tcW w:w="1034" w:type="dxa"/>
            <w:shd w:val="clear" w:color="auto" w:fill="D9D9D9" w:themeFill="background1" w:themeFillShade="D9"/>
            <w:vAlign w:val="center"/>
          </w:tcPr>
          <w:p w14:paraId="485CEEFD" w14:textId="77777777" w:rsidR="00631DFD" w:rsidRPr="00F4129E" w:rsidRDefault="00631DFD" w:rsidP="003075FF">
            <w:pPr>
              <w:pStyle w:val="wiTableUndefined"/>
            </w:pPr>
            <w:r w:rsidRPr="00F4129E">
              <w:t>No. 2</w:t>
            </w:r>
            <w:r w:rsidRPr="00F4129E">
              <w:br/>
              <w:t>(25.0 mm)</w:t>
            </w:r>
            <w:r w:rsidRPr="00F4129E">
              <w:br/>
              <w:t>(1 inch)</w:t>
            </w:r>
          </w:p>
        </w:tc>
        <w:tc>
          <w:tcPr>
            <w:tcW w:w="1035" w:type="dxa"/>
            <w:shd w:val="clear" w:color="auto" w:fill="D9D9D9" w:themeFill="background1" w:themeFillShade="D9"/>
            <w:vAlign w:val="center"/>
          </w:tcPr>
          <w:p w14:paraId="30492F1C" w14:textId="77777777" w:rsidR="00631DFD" w:rsidRPr="00F4129E" w:rsidRDefault="00631DFD" w:rsidP="003075FF">
            <w:pPr>
              <w:pStyle w:val="wiTableUndefined"/>
            </w:pPr>
            <w:r w:rsidRPr="00F4129E">
              <w:t>No.3</w:t>
            </w:r>
            <w:r w:rsidRPr="00F4129E">
              <w:br/>
              <w:t>(19.0 mm)</w:t>
            </w:r>
            <w:r w:rsidRPr="00F4129E">
              <w:br/>
              <w:t>(3/4 inch)</w:t>
            </w:r>
          </w:p>
        </w:tc>
        <w:tc>
          <w:tcPr>
            <w:tcW w:w="1035" w:type="dxa"/>
            <w:shd w:val="clear" w:color="auto" w:fill="D9D9D9" w:themeFill="background1" w:themeFillShade="D9"/>
            <w:vAlign w:val="center"/>
          </w:tcPr>
          <w:p w14:paraId="02A11ECA" w14:textId="77777777" w:rsidR="00631DFD" w:rsidRPr="00F4129E" w:rsidRDefault="00631DFD" w:rsidP="003075FF">
            <w:pPr>
              <w:pStyle w:val="wiTableUndefined"/>
            </w:pPr>
            <w:r w:rsidRPr="00F4129E">
              <w:t>No. 4</w:t>
            </w:r>
            <w:r w:rsidRPr="00F4129E">
              <w:br/>
              <w:t>(12.5 mm)</w:t>
            </w:r>
            <w:r w:rsidRPr="00F4129E">
              <w:br/>
              <w:t>(1/2 inch)</w:t>
            </w:r>
          </w:p>
        </w:tc>
        <w:tc>
          <w:tcPr>
            <w:tcW w:w="1035" w:type="dxa"/>
            <w:shd w:val="clear" w:color="auto" w:fill="D9D9D9" w:themeFill="background1" w:themeFillShade="D9"/>
            <w:vAlign w:val="center"/>
          </w:tcPr>
          <w:p w14:paraId="7A26E825" w14:textId="77777777" w:rsidR="00631DFD" w:rsidRPr="00F4129E" w:rsidRDefault="00631DFD" w:rsidP="003075FF">
            <w:pPr>
              <w:pStyle w:val="wiTableUndefined"/>
            </w:pPr>
            <w:r w:rsidRPr="00F4129E">
              <w:t>No. 5</w:t>
            </w:r>
            <w:r w:rsidRPr="00F4129E">
              <w:br/>
              <w:t>(9.5 mm)</w:t>
            </w:r>
            <w:r w:rsidRPr="00F4129E">
              <w:br/>
              <w:t>(3/8 inch)</w:t>
            </w:r>
          </w:p>
        </w:tc>
        <w:tc>
          <w:tcPr>
            <w:tcW w:w="1035" w:type="dxa"/>
            <w:shd w:val="clear" w:color="auto" w:fill="D9D9D9" w:themeFill="background1" w:themeFillShade="D9"/>
          </w:tcPr>
          <w:p w14:paraId="41A4DF8F" w14:textId="77777777" w:rsidR="00631DFD" w:rsidRPr="00F4129E" w:rsidRDefault="00631DFD" w:rsidP="003075FF">
            <w:pPr>
              <w:pStyle w:val="wiTableUndefined"/>
            </w:pPr>
            <w:r w:rsidRPr="00F4129E">
              <w:t>No. 6</w:t>
            </w:r>
            <w:r w:rsidRPr="00F4129E">
              <w:br/>
              <w:t>(4.75 mm)</w:t>
            </w:r>
            <w:r w:rsidRPr="00F4129E">
              <w:br/>
              <w:t>(3/16 inch)</w:t>
            </w:r>
          </w:p>
        </w:tc>
        <w:tc>
          <w:tcPr>
            <w:tcW w:w="1035" w:type="dxa"/>
            <w:shd w:val="clear" w:color="auto" w:fill="D9D9D9" w:themeFill="background1" w:themeFillShade="D9"/>
            <w:vAlign w:val="center"/>
          </w:tcPr>
          <w:p w14:paraId="6D215520" w14:textId="77777777" w:rsidR="00631DFD" w:rsidRPr="00F4129E" w:rsidRDefault="00631DFD" w:rsidP="003075FF">
            <w:pPr>
              <w:pStyle w:val="wiTableUndefined"/>
            </w:pPr>
            <w:proofErr w:type="spellStart"/>
            <w:r w:rsidRPr="00F4129E">
              <w:t>SMA</w:t>
            </w:r>
            <w:proofErr w:type="spellEnd"/>
            <w:r w:rsidRPr="00F4129E">
              <w:t xml:space="preserve"> No. 4</w:t>
            </w:r>
            <w:r w:rsidRPr="00F4129E">
              <w:br/>
              <w:t>(12.5 mm)</w:t>
            </w:r>
            <w:r w:rsidRPr="00F4129E">
              <w:br/>
              <w:t>(1/2 inch)</w:t>
            </w:r>
          </w:p>
        </w:tc>
        <w:tc>
          <w:tcPr>
            <w:tcW w:w="1036" w:type="dxa"/>
            <w:shd w:val="clear" w:color="auto" w:fill="D9D9D9" w:themeFill="background1" w:themeFillShade="D9"/>
            <w:vAlign w:val="center"/>
          </w:tcPr>
          <w:p w14:paraId="32CBA735" w14:textId="77777777" w:rsidR="00631DFD" w:rsidRPr="00F4129E" w:rsidRDefault="00631DFD" w:rsidP="003075FF">
            <w:pPr>
              <w:pStyle w:val="wiTableUndefined"/>
            </w:pPr>
            <w:proofErr w:type="spellStart"/>
            <w:r w:rsidRPr="00F4129E">
              <w:t>SMA</w:t>
            </w:r>
            <w:proofErr w:type="spellEnd"/>
            <w:r w:rsidRPr="00F4129E">
              <w:t xml:space="preserve"> No. 5</w:t>
            </w:r>
            <w:r w:rsidRPr="00F4129E">
              <w:br/>
              <w:t>(9.5 mm)</w:t>
            </w:r>
            <w:r w:rsidRPr="00F4129E">
              <w:br/>
              <w:t>(3/8 inch)</w:t>
            </w:r>
          </w:p>
        </w:tc>
      </w:tr>
      <w:tr w:rsidR="00631DFD" w:rsidRPr="00F4129E" w14:paraId="70D5FA1A" w14:textId="77777777" w:rsidTr="00E04290">
        <w:trPr>
          <w:jc w:val="center"/>
        </w:trPr>
        <w:tc>
          <w:tcPr>
            <w:tcW w:w="1081" w:type="dxa"/>
            <w:vAlign w:val="center"/>
          </w:tcPr>
          <w:p w14:paraId="5DE2BD87" w14:textId="77777777" w:rsidR="00631DFD" w:rsidRPr="00F4129E" w:rsidRDefault="00631DFD" w:rsidP="00D03502">
            <w:pPr>
              <w:pStyle w:val="wiTableUndefined"/>
              <w:spacing w:before="20" w:after="20"/>
            </w:pPr>
            <w:r w:rsidRPr="00F4129E">
              <w:t>50.0-mm</w:t>
            </w:r>
            <w:r w:rsidRPr="00F4129E">
              <w:br/>
              <w:t>(2-inch)</w:t>
            </w:r>
          </w:p>
        </w:tc>
        <w:tc>
          <w:tcPr>
            <w:tcW w:w="1034" w:type="dxa"/>
            <w:vAlign w:val="center"/>
          </w:tcPr>
          <w:p w14:paraId="5E8DBC88" w14:textId="77777777" w:rsidR="00631DFD" w:rsidRPr="00F4129E" w:rsidRDefault="00631DFD" w:rsidP="00D03502">
            <w:pPr>
              <w:pStyle w:val="wiTableUndefined"/>
              <w:spacing w:before="20" w:after="20"/>
              <w:rPr>
                <w:rFonts w:cs="Arial"/>
              </w:rPr>
            </w:pPr>
            <w:r w:rsidRPr="00F4129E">
              <w:rPr>
                <w:rFonts w:cs="Arial"/>
              </w:rPr>
              <w:t>100</w:t>
            </w:r>
          </w:p>
        </w:tc>
        <w:tc>
          <w:tcPr>
            <w:tcW w:w="1034" w:type="dxa"/>
            <w:vAlign w:val="center"/>
          </w:tcPr>
          <w:p w14:paraId="7E869B19" w14:textId="77777777" w:rsidR="00631DFD" w:rsidRPr="00F4129E" w:rsidRDefault="00631DFD" w:rsidP="00D03502">
            <w:pPr>
              <w:pStyle w:val="wiTableUndefined"/>
              <w:spacing w:before="20" w:after="20"/>
              <w:rPr>
                <w:rFonts w:cs="Arial"/>
              </w:rPr>
            </w:pPr>
          </w:p>
        </w:tc>
        <w:tc>
          <w:tcPr>
            <w:tcW w:w="1035" w:type="dxa"/>
            <w:vAlign w:val="center"/>
          </w:tcPr>
          <w:p w14:paraId="0CF90B4A" w14:textId="77777777" w:rsidR="00631DFD" w:rsidRPr="00F4129E" w:rsidRDefault="00631DFD" w:rsidP="00D03502">
            <w:pPr>
              <w:pStyle w:val="wiTableUndefined"/>
              <w:spacing w:before="20" w:after="20"/>
              <w:rPr>
                <w:rFonts w:cs="Arial"/>
              </w:rPr>
            </w:pPr>
          </w:p>
        </w:tc>
        <w:tc>
          <w:tcPr>
            <w:tcW w:w="1035" w:type="dxa"/>
            <w:vAlign w:val="center"/>
          </w:tcPr>
          <w:p w14:paraId="4932DD70" w14:textId="77777777" w:rsidR="00631DFD" w:rsidRPr="00F4129E" w:rsidRDefault="00631DFD" w:rsidP="00D03502">
            <w:pPr>
              <w:pStyle w:val="wiTableUndefined"/>
              <w:spacing w:before="20" w:after="20"/>
              <w:rPr>
                <w:rFonts w:cs="Arial"/>
              </w:rPr>
            </w:pPr>
          </w:p>
        </w:tc>
        <w:tc>
          <w:tcPr>
            <w:tcW w:w="1035" w:type="dxa"/>
            <w:vAlign w:val="center"/>
          </w:tcPr>
          <w:p w14:paraId="3F65FD6F" w14:textId="77777777" w:rsidR="00631DFD" w:rsidRPr="00F4129E" w:rsidRDefault="00631DFD" w:rsidP="00D03502">
            <w:pPr>
              <w:pStyle w:val="wiTableUndefined"/>
              <w:spacing w:before="20" w:after="20"/>
              <w:rPr>
                <w:rFonts w:cs="Arial"/>
              </w:rPr>
            </w:pPr>
          </w:p>
        </w:tc>
        <w:tc>
          <w:tcPr>
            <w:tcW w:w="1035" w:type="dxa"/>
          </w:tcPr>
          <w:p w14:paraId="46B86CCE" w14:textId="77777777" w:rsidR="00631DFD" w:rsidRPr="00E04290" w:rsidRDefault="00631DFD" w:rsidP="00D03502">
            <w:pPr>
              <w:pStyle w:val="wiTableUndefined"/>
            </w:pPr>
          </w:p>
        </w:tc>
        <w:tc>
          <w:tcPr>
            <w:tcW w:w="1035" w:type="dxa"/>
            <w:vAlign w:val="center"/>
          </w:tcPr>
          <w:p w14:paraId="2C3300BD" w14:textId="77777777" w:rsidR="00631DFD" w:rsidRPr="00F4129E" w:rsidRDefault="00631DFD" w:rsidP="00D03502">
            <w:pPr>
              <w:pStyle w:val="wiTableUndefined"/>
              <w:spacing w:before="20" w:after="20"/>
              <w:rPr>
                <w:rFonts w:cs="Arial"/>
              </w:rPr>
            </w:pPr>
          </w:p>
        </w:tc>
        <w:tc>
          <w:tcPr>
            <w:tcW w:w="1036" w:type="dxa"/>
            <w:vAlign w:val="center"/>
          </w:tcPr>
          <w:p w14:paraId="3BB02DB3" w14:textId="77777777" w:rsidR="00631DFD" w:rsidRPr="00F4129E" w:rsidRDefault="00631DFD" w:rsidP="00D03502">
            <w:pPr>
              <w:pStyle w:val="wiTableUndefined"/>
              <w:spacing w:before="20" w:after="20"/>
              <w:rPr>
                <w:rFonts w:cs="Arial"/>
              </w:rPr>
            </w:pPr>
          </w:p>
        </w:tc>
      </w:tr>
      <w:tr w:rsidR="00631DFD" w:rsidRPr="00F4129E" w14:paraId="56ABA01C" w14:textId="77777777" w:rsidTr="00E04290">
        <w:trPr>
          <w:jc w:val="center"/>
        </w:trPr>
        <w:tc>
          <w:tcPr>
            <w:tcW w:w="1081" w:type="dxa"/>
            <w:vAlign w:val="center"/>
          </w:tcPr>
          <w:p w14:paraId="5BE89BA0" w14:textId="77777777" w:rsidR="00631DFD" w:rsidRPr="00F4129E" w:rsidRDefault="00631DFD" w:rsidP="00D03502">
            <w:pPr>
              <w:pStyle w:val="wiTableUndefined"/>
              <w:spacing w:before="20" w:after="20"/>
            </w:pPr>
            <w:r w:rsidRPr="00F4129E">
              <w:t>37.5-mm</w:t>
            </w:r>
            <w:r w:rsidRPr="00F4129E">
              <w:br/>
              <w:t>(1 1/2-inch)</w:t>
            </w:r>
          </w:p>
        </w:tc>
        <w:tc>
          <w:tcPr>
            <w:tcW w:w="1034" w:type="dxa"/>
            <w:vAlign w:val="center"/>
          </w:tcPr>
          <w:p w14:paraId="05A71D6C" w14:textId="77777777" w:rsidR="00631DFD" w:rsidRPr="00F4129E" w:rsidRDefault="00631DFD" w:rsidP="00D03502">
            <w:pPr>
              <w:pStyle w:val="wiTableUndefined"/>
              <w:spacing w:before="20" w:after="20"/>
              <w:rPr>
                <w:rFonts w:cs="Arial"/>
              </w:rPr>
            </w:pPr>
            <w:r w:rsidRPr="00F4129E">
              <w:rPr>
                <w:rFonts w:cs="Arial"/>
              </w:rPr>
              <w:t>90 - 100</w:t>
            </w:r>
          </w:p>
        </w:tc>
        <w:tc>
          <w:tcPr>
            <w:tcW w:w="1034" w:type="dxa"/>
            <w:vAlign w:val="center"/>
          </w:tcPr>
          <w:p w14:paraId="772078F8" w14:textId="77777777" w:rsidR="00631DFD" w:rsidRPr="00F4129E" w:rsidRDefault="00631DFD" w:rsidP="00D03502">
            <w:pPr>
              <w:pStyle w:val="wiTableUndefined"/>
              <w:spacing w:before="20" w:after="20"/>
              <w:rPr>
                <w:rFonts w:cs="Arial"/>
              </w:rPr>
            </w:pPr>
            <w:r w:rsidRPr="00F4129E">
              <w:rPr>
                <w:rFonts w:cs="Arial"/>
              </w:rPr>
              <w:t>100</w:t>
            </w:r>
          </w:p>
        </w:tc>
        <w:tc>
          <w:tcPr>
            <w:tcW w:w="1035" w:type="dxa"/>
            <w:vAlign w:val="center"/>
          </w:tcPr>
          <w:p w14:paraId="33CDBFE6" w14:textId="77777777" w:rsidR="00631DFD" w:rsidRPr="00F4129E" w:rsidRDefault="00631DFD" w:rsidP="00D03502">
            <w:pPr>
              <w:pStyle w:val="wiTableUndefined"/>
              <w:spacing w:before="20" w:after="20"/>
              <w:rPr>
                <w:rFonts w:cs="Arial"/>
              </w:rPr>
            </w:pPr>
          </w:p>
        </w:tc>
        <w:tc>
          <w:tcPr>
            <w:tcW w:w="1035" w:type="dxa"/>
            <w:vAlign w:val="center"/>
          </w:tcPr>
          <w:p w14:paraId="7747B37E" w14:textId="77777777" w:rsidR="00631DFD" w:rsidRPr="00F4129E" w:rsidRDefault="00631DFD" w:rsidP="00D03502">
            <w:pPr>
              <w:pStyle w:val="wiTableUndefined"/>
              <w:spacing w:before="20" w:after="20"/>
              <w:rPr>
                <w:rFonts w:cs="Arial"/>
              </w:rPr>
            </w:pPr>
          </w:p>
        </w:tc>
        <w:tc>
          <w:tcPr>
            <w:tcW w:w="1035" w:type="dxa"/>
            <w:vAlign w:val="center"/>
          </w:tcPr>
          <w:p w14:paraId="14BDD9EB" w14:textId="77777777" w:rsidR="00631DFD" w:rsidRPr="00F4129E" w:rsidRDefault="00631DFD" w:rsidP="00D03502">
            <w:pPr>
              <w:pStyle w:val="wiTableUndefined"/>
              <w:spacing w:before="20" w:after="20"/>
              <w:rPr>
                <w:rFonts w:cs="Arial"/>
              </w:rPr>
            </w:pPr>
          </w:p>
        </w:tc>
        <w:tc>
          <w:tcPr>
            <w:tcW w:w="1035" w:type="dxa"/>
          </w:tcPr>
          <w:p w14:paraId="525DCAA3" w14:textId="77777777" w:rsidR="00631DFD" w:rsidRPr="00E04290" w:rsidRDefault="00631DFD" w:rsidP="00D03502">
            <w:pPr>
              <w:pStyle w:val="wiTableUndefined"/>
            </w:pPr>
          </w:p>
        </w:tc>
        <w:tc>
          <w:tcPr>
            <w:tcW w:w="1035" w:type="dxa"/>
            <w:vAlign w:val="center"/>
          </w:tcPr>
          <w:p w14:paraId="7333A6E1" w14:textId="77777777" w:rsidR="00631DFD" w:rsidRPr="00F4129E" w:rsidRDefault="00631DFD" w:rsidP="00D03502">
            <w:pPr>
              <w:pStyle w:val="wiTableUndefined"/>
              <w:spacing w:before="20" w:after="20"/>
              <w:rPr>
                <w:rFonts w:cs="Arial"/>
              </w:rPr>
            </w:pPr>
          </w:p>
        </w:tc>
        <w:tc>
          <w:tcPr>
            <w:tcW w:w="1036" w:type="dxa"/>
            <w:vAlign w:val="center"/>
          </w:tcPr>
          <w:p w14:paraId="1F95F383" w14:textId="77777777" w:rsidR="00631DFD" w:rsidRPr="00F4129E" w:rsidRDefault="00631DFD" w:rsidP="00D03502">
            <w:pPr>
              <w:pStyle w:val="wiTableUndefined"/>
              <w:spacing w:before="20" w:after="20"/>
              <w:rPr>
                <w:rFonts w:cs="Arial"/>
              </w:rPr>
            </w:pPr>
          </w:p>
        </w:tc>
      </w:tr>
      <w:tr w:rsidR="00631DFD" w:rsidRPr="00F4129E" w14:paraId="64174E24" w14:textId="77777777" w:rsidTr="00E04290">
        <w:trPr>
          <w:jc w:val="center"/>
        </w:trPr>
        <w:tc>
          <w:tcPr>
            <w:tcW w:w="1081" w:type="dxa"/>
            <w:vAlign w:val="center"/>
          </w:tcPr>
          <w:p w14:paraId="112A42DE" w14:textId="77777777" w:rsidR="00631DFD" w:rsidRPr="00F4129E" w:rsidRDefault="00631DFD" w:rsidP="00D03502">
            <w:pPr>
              <w:pStyle w:val="wiTableUndefined"/>
              <w:spacing w:before="20" w:after="20"/>
            </w:pPr>
            <w:r w:rsidRPr="00F4129E">
              <w:t>25.0-mm</w:t>
            </w:r>
            <w:r w:rsidRPr="00F4129E">
              <w:br/>
              <w:t>(1-inch)</w:t>
            </w:r>
          </w:p>
        </w:tc>
        <w:tc>
          <w:tcPr>
            <w:tcW w:w="1034" w:type="dxa"/>
            <w:vAlign w:val="center"/>
          </w:tcPr>
          <w:p w14:paraId="1D53F952" w14:textId="77777777" w:rsidR="00631DFD" w:rsidRPr="00F4129E" w:rsidRDefault="00631DFD" w:rsidP="00D03502">
            <w:pPr>
              <w:pStyle w:val="wiTableUndefined"/>
              <w:spacing w:before="20" w:after="20"/>
              <w:rPr>
                <w:rFonts w:cs="Arial"/>
              </w:rPr>
            </w:pPr>
            <w:r w:rsidRPr="00F4129E">
              <w:rPr>
                <w:rFonts w:cs="Arial"/>
              </w:rPr>
              <w:t xml:space="preserve">90 </w:t>
            </w:r>
            <w:proofErr w:type="gramStart"/>
            <w:r w:rsidRPr="00F4129E">
              <w:rPr>
                <w:rFonts w:cs="Arial"/>
              </w:rPr>
              <w:t>max</w:t>
            </w:r>
            <w:proofErr w:type="gramEnd"/>
          </w:p>
        </w:tc>
        <w:tc>
          <w:tcPr>
            <w:tcW w:w="1034" w:type="dxa"/>
            <w:vAlign w:val="center"/>
          </w:tcPr>
          <w:p w14:paraId="39907AE2" w14:textId="77777777" w:rsidR="00631DFD" w:rsidRPr="00F4129E" w:rsidRDefault="00631DFD" w:rsidP="00D03502">
            <w:pPr>
              <w:pStyle w:val="wiTableUndefined"/>
              <w:spacing w:before="20" w:after="20"/>
              <w:rPr>
                <w:rFonts w:cs="Arial"/>
              </w:rPr>
            </w:pPr>
            <w:r w:rsidRPr="00F4129E">
              <w:rPr>
                <w:rFonts w:cs="Arial"/>
              </w:rPr>
              <w:t>90 - 100</w:t>
            </w:r>
          </w:p>
        </w:tc>
        <w:tc>
          <w:tcPr>
            <w:tcW w:w="1035" w:type="dxa"/>
            <w:vAlign w:val="center"/>
          </w:tcPr>
          <w:p w14:paraId="76C6FD80" w14:textId="77777777" w:rsidR="00631DFD" w:rsidRPr="00F4129E" w:rsidRDefault="00631DFD" w:rsidP="00D03502">
            <w:pPr>
              <w:pStyle w:val="wiTableUndefined"/>
              <w:spacing w:before="20" w:after="20"/>
              <w:rPr>
                <w:rFonts w:cs="Arial"/>
              </w:rPr>
            </w:pPr>
            <w:r w:rsidRPr="00F4129E">
              <w:rPr>
                <w:rFonts w:cs="Arial"/>
              </w:rPr>
              <w:t>100</w:t>
            </w:r>
          </w:p>
        </w:tc>
        <w:tc>
          <w:tcPr>
            <w:tcW w:w="1035" w:type="dxa"/>
            <w:vAlign w:val="center"/>
          </w:tcPr>
          <w:p w14:paraId="4AF809B1" w14:textId="77777777" w:rsidR="00631DFD" w:rsidRPr="00F4129E" w:rsidRDefault="00631DFD" w:rsidP="00D03502">
            <w:pPr>
              <w:pStyle w:val="wiTableUndefined"/>
              <w:spacing w:before="20" w:after="20"/>
              <w:rPr>
                <w:rFonts w:cs="Arial"/>
              </w:rPr>
            </w:pPr>
          </w:p>
        </w:tc>
        <w:tc>
          <w:tcPr>
            <w:tcW w:w="1035" w:type="dxa"/>
            <w:vAlign w:val="center"/>
          </w:tcPr>
          <w:p w14:paraId="28989E40" w14:textId="77777777" w:rsidR="00631DFD" w:rsidRPr="00F4129E" w:rsidRDefault="00631DFD" w:rsidP="00D03502">
            <w:pPr>
              <w:pStyle w:val="wiTableUndefined"/>
              <w:spacing w:before="20" w:after="20"/>
              <w:rPr>
                <w:rFonts w:cs="Arial"/>
              </w:rPr>
            </w:pPr>
          </w:p>
        </w:tc>
        <w:tc>
          <w:tcPr>
            <w:tcW w:w="1035" w:type="dxa"/>
          </w:tcPr>
          <w:p w14:paraId="01FBB3A7" w14:textId="77777777" w:rsidR="00631DFD" w:rsidRPr="00E04290" w:rsidRDefault="00631DFD" w:rsidP="00D03502">
            <w:pPr>
              <w:pStyle w:val="wiTableUndefined"/>
            </w:pPr>
          </w:p>
        </w:tc>
        <w:tc>
          <w:tcPr>
            <w:tcW w:w="1035" w:type="dxa"/>
            <w:vAlign w:val="center"/>
          </w:tcPr>
          <w:p w14:paraId="3027BC33" w14:textId="77777777" w:rsidR="00631DFD" w:rsidRPr="00F4129E" w:rsidRDefault="00631DFD" w:rsidP="00D03502">
            <w:pPr>
              <w:pStyle w:val="wiTableUndefined"/>
              <w:spacing w:before="20" w:after="20"/>
              <w:rPr>
                <w:rFonts w:cs="Arial"/>
              </w:rPr>
            </w:pPr>
          </w:p>
        </w:tc>
        <w:tc>
          <w:tcPr>
            <w:tcW w:w="1036" w:type="dxa"/>
            <w:vAlign w:val="center"/>
          </w:tcPr>
          <w:p w14:paraId="7F6BC2A6" w14:textId="77777777" w:rsidR="00631DFD" w:rsidRPr="00F4129E" w:rsidRDefault="00631DFD" w:rsidP="00D03502">
            <w:pPr>
              <w:pStyle w:val="wiTableUndefined"/>
              <w:spacing w:before="20" w:after="20"/>
              <w:rPr>
                <w:rFonts w:cs="Arial"/>
              </w:rPr>
            </w:pPr>
          </w:p>
        </w:tc>
      </w:tr>
      <w:tr w:rsidR="00631DFD" w:rsidRPr="00F4129E" w14:paraId="71748B28" w14:textId="77777777" w:rsidTr="00E04290">
        <w:trPr>
          <w:jc w:val="center"/>
        </w:trPr>
        <w:tc>
          <w:tcPr>
            <w:tcW w:w="1081" w:type="dxa"/>
            <w:vAlign w:val="center"/>
          </w:tcPr>
          <w:p w14:paraId="6D1DB462" w14:textId="77777777" w:rsidR="00631DFD" w:rsidRPr="00F4129E" w:rsidRDefault="00631DFD" w:rsidP="00D03502">
            <w:pPr>
              <w:pStyle w:val="wiTableUndefined"/>
              <w:spacing w:before="20" w:after="20"/>
            </w:pPr>
            <w:r w:rsidRPr="00F4129E">
              <w:t>19.0-mm</w:t>
            </w:r>
            <w:r w:rsidRPr="00F4129E">
              <w:br/>
              <w:t>(3/4-inch)</w:t>
            </w:r>
          </w:p>
        </w:tc>
        <w:tc>
          <w:tcPr>
            <w:tcW w:w="1034" w:type="dxa"/>
            <w:vAlign w:val="center"/>
          </w:tcPr>
          <w:p w14:paraId="279E16BA" w14:textId="77777777" w:rsidR="00631DFD" w:rsidRPr="00F4129E" w:rsidRDefault="00631DFD" w:rsidP="00D03502">
            <w:pPr>
              <w:pStyle w:val="wiTableUndefined"/>
              <w:spacing w:before="20" w:after="20"/>
              <w:rPr>
                <w:rFonts w:cs="Arial"/>
              </w:rPr>
            </w:pPr>
            <w:r w:rsidRPr="00F4129E">
              <w:rPr>
                <w:rFonts w:cs="Arial"/>
              </w:rPr>
              <w:t>___</w:t>
            </w:r>
          </w:p>
        </w:tc>
        <w:tc>
          <w:tcPr>
            <w:tcW w:w="1034" w:type="dxa"/>
            <w:vAlign w:val="center"/>
          </w:tcPr>
          <w:p w14:paraId="76DAB29C" w14:textId="77777777" w:rsidR="00631DFD" w:rsidRPr="00F4129E" w:rsidRDefault="00631DFD" w:rsidP="00D03502">
            <w:pPr>
              <w:pStyle w:val="wiTableUndefined"/>
              <w:spacing w:before="20" w:after="20"/>
              <w:rPr>
                <w:rFonts w:cs="Arial"/>
              </w:rPr>
            </w:pPr>
            <w:r w:rsidRPr="00F4129E">
              <w:rPr>
                <w:rFonts w:cs="Arial"/>
              </w:rPr>
              <w:t xml:space="preserve">90 </w:t>
            </w:r>
            <w:proofErr w:type="gramStart"/>
            <w:r w:rsidRPr="00F4129E">
              <w:rPr>
                <w:rFonts w:cs="Arial"/>
              </w:rPr>
              <w:t>max</w:t>
            </w:r>
            <w:proofErr w:type="gramEnd"/>
          </w:p>
        </w:tc>
        <w:tc>
          <w:tcPr>
            <w:tcW w:w="1035" w:type="dxa"/>
            <w:vAlign w:val="center"/>
          </w:tcPr>
          <w:p w14:paraId="3F031118" w14:textId="77777777" w:rsidR="00631DFD" w:rsidRPr="00F4129E" w:rsidRDefault="00631DFD" w:rsidP="00D03502">
            <w:pPr>
              <w:pStyle w:val="wiTableUndefined"/>
              <w:spacing w:before="20" w:after="20"/>
              <w:rPr>
                <w:rFonts w:cs="Arial"/>
              </w:rPr>
            </w:pPr>
            <w:r w:rsidRPr="00F4129E">
              <w:rPr>
                <w:rFonts w:cs="Arial"/>
              </w:rPr>
              <w:t>90 - 100</w:t>
            </w:r>
          </w:p>
        </w:tc>
        <w:tc>
          <w:tcPr>
            <w:tcW w:w="1035" w:type="dxa"/>
            <w:vAlign w:val="center"/>
          </w:tcPr>
          <w:p w14:paraId="73B39A76" w14:textId="77777777" w:rsidR="00631DFD" w:rsidRPr="00F4129E" w:rsidRDefault="00631DFD" w:rsidP="00D03502">
            <w:pPr>
              <w:pStyle w:val="wiTableUndefined"/>
              <w:spacing w:before="20" w:after="20"/>
              <w:rPr>
                <w:rFonts w:cs="Arial"/>
              </w:rPr>
            </w:pPr>
            <w:r w:rsidRPr="00F4129E">
              <w:rPr>
                <w:rFonts w:cs="Arial"/>
              </w:rPr>
              <w:t>100</w:t>
            </w:r>
          </w:p>
        </w:tc>
        <w:tc>
          <w:tcPr>
            <w:tcW w:w="1035" w:type="dxa"/>
            <w:vAlign w:val="center"/>
          </w:tcPr>
          <w:p w14:paraId="4C398B6A" w14:textId="77777777" w:rsidR="00631DFD" w:rsidRPr="00F4129E" w:rsidRDefault="00631DFD" w:rsidP="00D03502">
            <w:pPr>
              <w:pStyle w:val="wiTableUndefined"/>
              <w:spacing w:before="20" w:after="20"/>
              <w:rPr>
                <w:rFonts w:cs="Arial"/>
              </w:rPr>
            </w:pPr>
          </w:p>
        </w:tc>
        <w:tc>
          <w:tcPr>
            <w:tcW w:w="1035" w:type="dxa"/>
          </w:tcPr>
          <w:p w14:paraId="56A646BC" w14:textId="77777777" w:rsidR="00631DFD" w:rsidRPr="00E04290" w:rsidRDefault="00631DFD" w:rsidP="00D03502">
            <w:pPr>
              <w:pStyle w:val="wiTableUndefined"/>
            </w:pPr>
          </w:p>
        </w:tc>
        <w:tc>
          <w:tcPr>
            <w:tcW w:w="1035" w:type="dxa"/>
            <w:vAlign w:val="center"/>
          </w:tcPr>
          <w:p w14:paraId="43F48359" w14:textId="77777777" w:rsidR="00631DFD" w:rsidRPr="00F4129E" w:rsidRDefault="00631DFD" w:rsidP="00D03502">
            <w:pPr>
              <w:pStyle w:val="wiTableUndefined"/>
              <w:spacing w:before="20" w:after="20"/>
              <w:rPr>
                <w:rFonts w:cs="Arial"/>
              </w:rPr>
            </w:pPr>
            <w:r w:rsidRPr="00F4129E">
              <w:rPr>
                <w:rFonts w:cs="Arial"/>
              </w:rPr>
              <w:t>100</w:t>
            </w:r>
          </w:p>
        </w:tc>
        <w:tc>
          <w:tcPr>
            <w:tcW w:w="1036" w:type="dxa"/>
            <w:vAlign w:val="center"/>
          </w:tcPr>
          <w:p w14:paraId="165FBA23" w14:textId="77777777" w:rsidR="00631DFD" w:rsidRPr="00F4129E" w:rsidRDefault="00631DFD" w:rsidP="00D03502">
            <w:pPr>
              <w:pStyle w:val="wiTableUndefined"/>
              <w:spacing w:before="20" w:after="20"/>
              <w:rPr>
                <w:rFonts w:cs="Arial"/>
              </w:rPr>
            </w:pPr>
          </w:p>
        </w:tc>
      </w:tr>
      <w:tr w:rsidR="00631DFD" w:rsidRPr="00F4129E" w14:paraId="5904414D" w14:textId="77777777" w:rsidTr="00E04290">
        <w:trPr>
          <w:jc w:val="center"/>
        </w:trPr>
        <w:tc>
          <w:tcPr>
            <w:tcW w:w="1081" w:type="dxa"/>
            <w:vAlign w:val="center"/>
          </w:tcPr>
          <w:p w14:paraId="1F0B7173" w14:textId="77777777" w:rsidR="00631DFD" w:rsidRPr="00F4129E" w:rsidRDefault="00631DFD" w:rsidP="00D03502">
            <w:pPr>
              <w:pStyle w:val="wiTableUndefined"/>
              <w:spacing w:before="20" w:after="20"/>
            </w:pPr>
            <w:r w:rsidRPr="00F4129E">
              <w:t>12.5-mm</w:t>
            </w:r>
            <w:r w:rsidRPr="00F4129E">
              <w:br/>
              <w:t>(1/2-inch)</w:t>
            </w:r>
          </w:p>
        </w:tc>
        <w:tc>
          <w:tcPr>
            <w:tcW w:w="1034" w:type="dxa"/>
            <w:vAlign w:val="center"/>
          </w:tcPr>
          <w:p w14:paraId="150BFC42" w14:textId="77777777" w:rsidR="00631DFD" w:rsidRPr="00F4129E" w:rsidRDefault="00631DFD" w:rsidP="00D03502">
            <w:pPr>
              <w:pStyle w:val="wiTableUndefined"/>
              <w:spacing w:before="20" w:after="20"/>
              <w:rPr>
                <w:rFonts w:cs="Arial"/>
              </w:rPr>
            </w:pPr>
            <w:r w:rsidRPr="00F4129E">
              <w:rPr>
                <w:rFonts w:cs="Arial"/>
              </w:rPr>
              <w:t>___</w:t>
            </w:r>
          </w:p>
        </w:tc>
        <w:tc>
          <w:tcPr>
            <w:tcW w:w="1034" w:type="dxa"/>
            <w:vAlign w:val="center"/>
          </w:tcPr>
          <w:p w14:paraId="07D91B4A" w14:textId="77777777" w:rsidR="00631DFD" w:rsidRPr="00F4129E" w:rsidRDefault="00631DFD" w:rsidP="00D03502">
            <w:pPr>
              <w:pStyle w:val="wiTableUndefined"/>
              <w:spacing w:before="20" w:after="20"/>
              <w:rPr>
                <w:rFonts w:cs="Arial"/>
              </w:rPr>
            </w:pPr>
            <w:r w:rsidRPr="00F4129E">
              <w:rPr>
                <w:rFonts w:cs="Arial"/>
              </w:rPr>
              <w:t>___</w:t>
            </w:r>
          </w:p>
        </w:tc>
        <w:tc>
          <w:tcPr>
            <w:tcW w:w="1035" w:type="dxa"/>
            <w:vAlign w:val="center"/>
          </w:tcPr>
          <w:p w14:paraId="2EF898E9" w14:textId="77777777" w:rsidR="00631DFD" w:rsidRPr="00F4129E" w:rsidRDefault="00631DFD" w:rsidP="00D03502">
            <w:pPr>
              <w:pStyle w:val="wiTableUndefined"/>
              <w:spacing w:before="20" w:after="20"/>
              <w:rPr>
                <w:rFonts w:cs="Arial"/>
              </w:rPr>
            </w:pPr>
            <w:r w:rsidRPr="00F4129E">
              <w:rPr>
                <w:rFonts w:cs="Arial"/>
              </w:rPr>
              <w:t xml:space="preserve">90 </w:t>
            </w:r>
            <w:proofErr w:type="gramStart"/>
            <w:r w:rsidRPr="00F4129E">
              <w:rPr>
                <w:rFonts w:cs="Arial"/>
              </w:rPr>
              <w:t>max</w:t>
            </w:r>
            <w:proofErr w:type="gramEnd"/>
          </w:p>
        </w:tc>
        <w:tc>
          <w:tcPr>
            <w:tcW w:w="1035" w:type="dxa"/>
            <w:vAlign w:val="center"/>
          </w:tcPr>
          <w:p w14:paraId="120EF0DF" w14:textId="77777777" w:rsidR="00631DFD" w:rsidRPr="00F4129E" w:rsidRDefault="00631DFD" w:rsidP="00D03502">
            <w:pPr>
              <w:pStyle w:val="wiTableUndefined"/>
              <w:spacing w:before="20" w:after="20"/>
              <w:rPr>
                <w:rFonts w:cs="Arial"/>
              </w:rPr>
            </w:pPr>
            <w:r w:rsidRPr="00F4129E">
              <w:rPr>
                <w:rFonts w:cs="Arial"/>
              </w:rPr>
              <w:t>90 - 100</w:t>
            </w:r>
          </w:p>
        </w:tc>
        <w:tc>
          <w:tcPr>
            <w:tcW w:w="1035" w:type="dxa"/>
            <w:vAlign w:val="center"/>
          </w:tcPr>
          <w:p w14:paraId="623B66C3" w14:textId="77777777" w:rsidR="00631DFD" w:rsidRPr="00F4129E" w:rsidRDefault="00631DFD" w:rsidP="00D03502">
            <w:pPr>
              <w:pStyle w:val="wiTableUndefined"/>
              <w:spacing w:before="20" w:after="20"/>
              <w:rPr>
                <w:rFonts w:cs="Arial"/>
              </w:rPr>
            </w:pPr>
            <w:r w:rsidRPr="00F4129E">
              <w:rPr>
                <w:rFonts w:cs="Arial"/>
              </w:rPr>
              <w:t>100</w:t>
            </w:r>
          </w:p>
        </w:tc>
        <w:tc>
          <w:tcPr>
            <w:tcW w:w="1035" w:type="dxa"/>
          </w:tcPr>
          <w:p w14:paraId="1BE2392F" w14:textId="77777777" w:rsidR="00631DFD" w:rsidRPr="00E04290" w:rsidRDefault="00631DFD" w:rsidP="00D03502">
            <w:pPr>
              <w:pStyle w:val="wiTableUndefined"/>
            </w:pPr>
          </w:p>
        </w:tc>
        <w:tc>
          <w:tcPr>
            <w:tcW w:w="1035" w:type="dxa"/>
            <w:vAlign w:val="center"/>
          </w:tcPr>
          <w:p w14:paraId="50B87A98" w14:textId="77777777" w:rsidR="00631DFD" w:rsidRPr="00F4129E" w:rsidRDefault="00631DFD" w:rsidP="00D03502">
            <w:pPr>
              <w:pStyle w:val="wiTableUndefined"/>
              <w:spacing w:before="20" w:after="20"/>
              <w:rPr>
                <w:rFonts w:cs="Arial"/>
              </w:rPr>
            </w:pPr>
            <w:r w:rsidRPr="00F4129E">
              <w:rPr>
                <w:rFonts w:cs="Arial"/>
              </w:rPr>
              <w:t>90 - 97</w:t>
            </w:r>
          </w:p>
        </w:tc>
        <w:tc>
          <w:tcPr>
            <w:tcW w:w="1036" w:type="dxa"/>
            <w:vAlign w:val="center"/>
          </w:tcPr>
          <w:p w14:paraId="5043EDBD" w14:textId="77777777" w:rsidR="00631DFD" w:rsidRPr="00F4129E" w:rsidRDefault="00631DFD" w:rsidP="00D03502">
            <w:pPr>
              <w:pStyle w:val="wiTableUndefined"/>
              <w:spacing w:before="20" w:after="20"/>
              <w:rPr>
                <w:rFonts w:cs="Arial"/>
              </w:rPr>
            </w:pPr>
            <w:r w:rsidRPr="00F4129E">
              <w:rPr>
                <w:rFonts w:cs="Arial"/>
              </w:rPr>
              <w:t>100</w:t>
            </w:r>
          </w:p>
        </w:tc>
      </w:tr>
      <w:tr w:rsidR="00631DFD" w:rsidRPr="00F4129E" w14:paraId="5F2305EC" w14:textId="77777777" w:rsidTr="00E04290">
        <w:trPr>
          <w:jc w:val="center"/>
        </w:trPr>
        <w:tc>
          <w:tcPr>
            <w:tcW w:w="1081" w:type="dxa"/>
            <w:vAlign w:val="center"/>
          </w:tcPr>
          <w:p w14:paraId="134A186B" w14:textId="77777777" w:rsidR="00631DFD" w:rsidRPr="00F4129E" w:rsidRDefault="00631DFD" w:rsidP="00D03502">
            <w:pPr>
              <w:pStyle w:val="wiTableUndefined"/>
              <w:spacing w:before="20" w:after="20"/>
            </w:pPr>
            <w:r w:rsidRPr="00F4129E">
              <w:t>9.5-mm</w:t>
            </w:r>
            <w:r w:rsidRPr="00F4129E">
              <w:br/>
              <w:t>(3/8-inch)</w:t>
            </w:r>
          </w:p>
        </w:tc>
        <w:tc>
          <w:tcPr>
            <w:tcW w:w="1034" w:type="dxa"/>
            <w:vAlign w:val="center"/>
          </w:tcPr>
          <w:p w14:paraId="1C977480" w14:textId="77777777" w:rsidR="00631DFD" w:rsidRPr="00F4129E" w:rsidRDefault="00631DFD" w:rsidP="00D03502">
            <w:pPr>
              <w:pStyle w:val="wiTableUndefined"/>
              <w:spacing w:before="20" w:after="20"/>
              <w:rPr>
                <w:rFonts w:cs="Arial"/>
              </w:rPr>
            </w:pPr>
            <w:r w:rsidRPr="00F4129E">
              <w:rPr>
                <w:rFonts w:cs="Arial"/>
              </w:rPr>
              <w:t>___</w:t>
            </w:r>
          </w:p>
        </w:tc>
        <w:tc>
          <w:tcPr>
            <w:tcW w:w="1034" w:type="dxa"/>
            <w:vAlign w:val="center"/>
          </w:tcPr>
          <w:p w14:paraId="795D0BBE" w14:textId="77777777" w:rsidR="00631DFD" w:rsidRPr="00F4129E" w:rsidRDefault="00631DFD" w:rsidP="00D03502">
            <w:pPr>
              <w:pStyle w:val="wiTableUndefined"/>
              <w:spacing w:before="20" w:after="20"/>
              <w:rPr>
                <w:rFonts w:cs="Arial"/>
              </w:rPr>
            </w:pPr>
            <w:r w:rsidRPr="00F4129E">
              <w:rPr>
                <w:rFonts w:cs="Arial"/>
              </w:rPr>
              <w:t>___</w:t>
            </w:r>
          </w:p>
        </w:tc>
        <w:tc>
          <w:tcPr>
            <w:tcW w:w="1035" w:type="dxa"/>
            <w:vAlign w:val="center"/>
          </w:tcPr>
          <w:p w14:paraId="01986F8A" w14:textId="77777777" w:rsidR="00631DFD" w:rsidRPr="00F4129E" w:rsidRDefault="00631DFD" w:rsidP="00D03502">
            <w:pPr>
              <w:pStyle w:val="wiTableUndefined"/>
              <w:spacing w:before="20" w:after="20"/>
              <w:rPr>
                <w:rFonts w:cs="Arial"/>
              </w:rPr>
            </w:pPr>
            <w:r w:rsidRPr="00F4129E">
              <w:rPr>
                <w:rFonts w:cs="Arial"/>
              </w:rPr>
              <w:t>___</w:t>
            </w:r>
          </w:p>
        </w:tc>
        <w:tc>
          <w:tcPr>
            <w:tcW w:w="1035" w:type="dxa"/>
            <w:vAlign w:val="center"/>
          </w:tcPr>
          <w:p w14:paraId="4FFBA9D1" w14:textId="77777777" w:rsidR="00631DFD" w:rsidRPr="00F4129E" w:rsidRDefault="00631DFD" w:rsidP="00D03502">
            <w:pPr>
              <w:pStyle w:val="wiTableUndefined"/>
              <w:spacing w:before="20" w:after="20"/>
              <w:rPr>
                <w:rFonts w:cs="Arial"/>
              </w:rPr>
            </w:pPr>
            <w:r w:rsidRPr="00F4129E">
              <w:rPr>
                <w:rFonts w:cs="Arial"/>
              </w:rPr>
              <w:t xml:space="preserve">90 </w:t>
            </w:r>
            <w:proofErr w:type="gramStart"/>
            <w:r w:rsidRPr="00F4129E">
              <w:rPr>
                <w:rFonts w:cs="Arial"/>
              </w:rPr>
              <w:t>max</w:t>
            </w:r>
            <w:proofErr w:type="gramEnd"/>
          </w:p>
        </w:tc>
        <w:tc>
          <w:tcPr>
            <w:tcW w:w="1035" w:type="dxa"/>
            <w:vAlign w:val="center"/>
          </w:tcPr>
          <w:p w14:paraId="04AEA8F9" w14:textId="77777777" w:rsidR="00631DFD" w:rsidRPr="00F4129E" w:rsidRDefault="00631DFD" w:rsidP="00D03502">
            <w:pPr>
              <w:pStyle w:val="wiTableUndefined"/>
              <w:spacing w:before="20" w:after="20"/>
              <w:rPr>
                <w:rFonts w:cs="Arial"/>
              </w:rPr>
            </w:pPr>
            <w:r w:rsidRPr="00F4129E">
              <w:rPr>
                <w:rFonts w:cs="Arial"/>
              </w:rPr>
              <w:t>90 - 100</w:t>
            </w:r>
          </w:p>
        </w:tc>
        <w:tc>
          <w:tcPr>
            <w:tcW w:w="1035" w:type="dxa"/>
            <w:vAlign w:val="center"/>
          </w:tcPr>
          <w:p w14:paraId="3B950291" w14:textId="77777777" w:rsidR="00631DFD" w:rsidRPr="00E04290" w:rsidRDefault="00631DFD" w:rsidP="00D03502">
            <w:pPr>
              <w:pStyle w:val="wiTableUndefined"/>
            </w:pPr>
            <w:r w:rsidRPr="00E04290">
              <w:t>100</w:t>
            </w:r>
          </w:p>
        </w:tc>
        <w:tc>
          <w:tcPr>
            <w:tcW w:w="1035" w:type="dxa"/>
            <w:vAlign w:val="center"/>
          </w:tcPr>
          <w:p w14:paraId="5E9051A9" w14:textId="77777777" w:rsidR="00631DFD" w:rsidRPr="00F4129E" w:rsidRDefault="00631DFD" w:rsidP="00D03502">
            <w:pPr>
              <w:pStyle w:val="wiTableUndefined"/>
              <w:spacing w:before="20" w:after="20"/>
              <w:rPr>
                <w:rFonts w:cs="Arial"/>
              </w:rPr>
            </w:pPr>
            <w:r w:rsidRPr="00F4129E">
              <w:rPr>
                <w:rFonts w:cs="Arial"/>
              </w:rPr>
              <w:t>58 - 80</w:t>
            </w:r>
          </w:p>
        </w:tc>
        <w:tc>
          <w:tcPr>
            <w:tcW w:w="1036" w:type="dxa"/>
            <w:vAlign w:val="center"/>
          </w:tcPr>
          <w:p w14:paraId="6199AA31" w14:textId="77777777" w:rsidR="00631DFD" w:rsidRPr="00F4129E" w:rsidRDefault="00631DFD" w:rsidP="00D03502">
            <w:pPr>
              <w:pStyle w:val="wiTableUndefined"/>
              <w:spacing w:before="20" w:after="20"/>
              <w:rPr>
                <w:rFonts w:cs="Arial"/>
              </w:rPr>
            </w:pPr>
            <w:r w:rsidRPr="00F4129E">
              <w:rPr>
                <w:rFonts w:cs="Arial"/>
              </w:rPr>
              <w:t>90 - 100</w:t>
            </w:r>
          </w:p>
        </w:tc>
      </w:tr>
      <w:tr w:rsidR="00631DFD" w:rsidRPr="00F4129E" w14:paraId="518EBA9A" w14:textId="77777777" w:rsidTr="00E04290">
        <w:trPr>
          <w:jc w:val="center"/>
        </w:trPr>
        <w:tc>
          <w:tcPr>
            <w:tcW w:w="1081" w:type="dxa"/>
            <w:vAlign w:val="center"/>
          </w:tcPr>
          <w:p w14:paraId="5DA70CB1" w14:textId="77777777" w:rsidR="00631DFD" w:rsidRPr="00F4129E" w:rsidRDefault="00631DFD" w:rsidP="00D03502">
            <w:pPr>
              <w:pStyle w:val="wiTableUndefined"/>
              <w:spacing w:before="20" w:after="20"/>
            </w:pPr>
            <w:r w:rsidRPr="00F4129E">
              <w:t>4.75-mm</w:t>
            </w:r>
            <w:r w:rsidRPr="00F4129E">
              <w:br/>
              <w:t>(No. 4)</w:t>
            </w:r>
          </w:p>
        </w:tc>
        <w:tc>
          <w:tcPr>
            <w:tcW w:w="1034" w:type="dxa"/>
            <w:vAlign w:val="center"/>
          </w:tcPr>
          <w:p w14:paraId="6C9ED9F5" w14:textId="77777777" w:rsidR="00631DFD" w:rsidRPr="00F4129E" w:rsidRDefault="00631DFD" w:rsidP="00D03502">
            <w:pPr>
              <w:pStyle w:val="wiTableUndefined"/>
              <w:spacing w:before="20" w:after="20"/>
              <w:rPr>
                <w:rFonts w:cs="Arial"/>
              </w:rPr>
            </w:pPr>
            <w:r w:rsidRPr="00F4129E">
              <w:rPr>
                <w:rFonts w:cs="Arial"/>
              </w:rPr>
              <w:t>___</w:t>
            </w:r>
          </w:p>
        </w:tc>
        <w:tc>
          <w:tcPr>
            <w:tcW w:w="1034" w:type="dxa"/>
            <w:vAlign w:val="center"/>
          </w:tcPr>
          <w:p w14:paraId="251C8F48" w14:textId="77777777" w:rsidR="00631DFD" w:rsidRPr="00F4129E" w:rsidRDefault="00631DFD" w:rsidP="00D03502">
            <w:pPr>
              <w:pStyle w:val="wiTableUndefined"/>
              <w:spacing w:before="20" w:after="20"/>
              <w:rPr>
                <w:rFonts w:cs="Arial"/>
              </w:rPr>
            </w:pPr>
            <w:r w:rsidRPr="00F4129E">
              <w:rPr>
                <w:rFonts w:cs="Arial"/>
              </w:rPr>
              <w:t>___</w:t>
            </w:r>
          </w:p>
        </w:tc>
        <w:tc>
          <w:tcPr>
            <w:tcW w:w="1035" w:type="dxa"/>
            <w:vAlign w:val="center"/>
          </w:tcPr>
          <w:p w14:paraId="53B1799F" w14:textId="77777777" w:rsidR="00631DFD" w:rsidRPr="00F4129E" w:rsidRDefault="00631DFD" w:rsidP="00D03502">
            <w:pPr>
              <w:pStyle w:val="wiTableUndefined"/>
              <w:spacing w:before="20" w:after="20"/>
              <w:rPr>
                <w:rFonts w:cs="Arial"/>
              </w:rPr>
            </w:pPr>
            <w:r w:rsidRPr="00F4129E">
              <w:rPr>
                <w:rFonts w:cs="Arial"/>
              </w:rPr>
              <w:t>___</w:t>
            </w:r>
          </w:p>
        </w:tc>
        <w:tc>
          <w:tcPr>
            <w:tcW w:w="1035" w:type="dxa"/>
            <w:vAlign w:val="center"/>
          </w:tcPr>
          <w:p w14:paraId="5A93B901" w14:textId="77777777" w:rsidR="00631DFD" w:rsidRPr="00F4129E" w:rsidRDefault="00631DFD" w:rsidP="00D03502">
            <w:pPr>
              <w:pStyle w:val="wiTableUndefined"/>
              <w:spacing w:before="20" w:after="20"/>
              <w:rPr>
                <w:rFonts w:cs="Arial"/>
              </w:rPr>
            </w:pPr>
            <w:r w:rsidRPr="00F4129E">
              <w:rPr>
                <w:rFonts w:cs="Arial"/>
              </w:rPr>
              <w:t>___</w:t>
            </w:r>
          </w:p>
        </w:tc>
        <w:tc>
          <w:tcPr>
            <w:tcW w:w="1035" w:type="dxa"/>
            <w:vAlign w:val="center"/>
          </w:tcPr>
          <w:p w14:paraId="702D38F2" w14:textId="77777777" w:rsidR="00631DFD" w:rsidRPr="00F4129E" w:rsidRDefault="00631DFD" w:rsidP="00D03502">
            <w:pPr>
              <w:pStyle w:val="wiTableUndefined"/>
              <w:spacing w:before="20" w:after="20"/>
              <w:rPr>
                <w:rFonts w:cs="Arial"/>
              </w:rPr>
            </w:pPr>
            <w:r w:rsidRPr="00F4129E">
              <w:rPr>
                <w:rFonts w:cs="Arial"/>
              </w:rPr>
              <w:t xml:space="preserve">90 </w:t>
            </w:r>
            <w:proofErr w:type="gramStart"/>
            <w:r w:rsidRPr="00F4129E">
              <w:rPr>
                <w:rFonts w:cs="Arial"/>
              </w:rPr>
              <w:t>max</w:t>
            </w:r>
            <w:proofErr w:type="gramEnd"/>
          </w:p>
        </w:tc>
        <w:tc>
          <w:tcPr>
            <w:tcW w:w="1035" w:type="dxa"/>
            <w:vAlign w:val="center"/>
          </w:tcPr>
          <w:p w14:paraId="11EE9719" w14:textId="77777777" w:rsidR="00631DFD" w:rsidRPr="00E04290" w:rsidRDefault="00631DFD" w:rsidP="00D03502">
            <w:pPr>
              <w:pStyle w:val="wiTableUndefined"/>
            </w:pPr>
            <w:r w:rsidRPr="00E04290">
              <w:t>90 - 100</w:t>
            </w:r>
          </w:p>
        </w:tc>
        <w:tc>
          <w:tcPr>
            <w:tcW w:w="1035" w:type="dxa"/>
            <w:vAlign w:val="center"/>
          </w:tcPr>
          <w:p w14:paraId="0927653D" w14:textId="77777777" w:rsidR="00631DFD" w:rsidRPr="00F4129E" w:rsidRDefault="00631DFD" w:rsidP="00D03502">
            <w:pPr>
              <w:pStyle w:val="wiTableUndefined"/>
              <w:spacing w:before="20" w:after="20"/>
              <w:rPr>
                <w:rFonts w:cs="Arial"/>
              </w:rPr>
            </w:pPr>
            <w:r w:rsidRPr="00F4129E">
              <w:rPr>
                <w:rFonts w:cs="Arial"/>
              </w:rPr>
              <w:t>25 - 35</w:t>
            </w:r>
          </w:p>
        </w:tc>
        <w:tc>
          <w:tcPr>
            <w:tcW w:w="1036" w:type="dxa"/>
            <w:vAlign w:val="center"/>
          </w:tcPr>
          <w:p w14:paraId="47638FC1" w14:textId="77777777" w:rsidR="00631DFD" w:rsidRPr="00F4129E" w:rsidRDefault="00631DFD" w:rsidP="00D03502">
            <w:pPr>
              <w:pStyle w:val="wiTableUndefined"/>
              <w:spacing w:before="20" w:after="20"/>
              <w:rPr>
                <w:rFonts w:cs="Arial"/>
              </w:rPr>
            </w:pPr>
            <w:r w:rsidRPr="00F4129E">
              <w:rPr>
                <w:rFonts w:cs="Arial"/>
              </w:rPr>
              <w:t>35 - 45</w:t>
            </w:r>
          </w:p>
        </w:tc>
      </w:tr>
      <w:tr w:rsidR="00631DFD" w:rsidRPr="00F4129E" w14:paraId="2E772655" w14:textId="77777777" w:rsidTr="00E04290">
        <w:trPr>
          <w:jc w:val="center"/>
        </w:trPr>
        <w:tc>
          <w:tcPr>
            <w:tcW w:w="1081" w:type="dxa"/>
            <w:vAlign w:val="center"/>
          </w:tcPr>
          <w:p w14:paraId="6B997777" w14:textId="77777777" w:rsidR="00631DFD" w:rsidRPr="00F4129E" w:rsidRDefault="00631DFD" w:rsidP="00D03502">
            <w:pPr>
              <w:pStyle w:val="wiTableUndefined"/>
              <w:spacing w:before="20" w:after="20"/>
            </w:pPr>
            <w:r w:rsidRPr="00F4129E">
              <w:t>2.36-mm</w:t>
            </w:r>
            <w:r w:rsidRPr="00F4129E">
              <w:br/>
              <w:t>(No. 8)</w:t>
            </w:r>
          </w:p>
        </w:tc>
        <w:tc>
          <w:tcPr>
            <w:tcW w:w="1034" w:type="dxa"/>
            <w:vAlign w:val="center"/>
          </w:tcPr>
          <w:p w14:paraId="7989020B" w14:textId="77777777" w:rsidR="00631DFD" w:rsidRPr="00F4129E" w:rsidRDefault="00631DFD" w:rsidP="00D03502">
            <w:pPr>
              <w:pStyle w:val="wiTableUndefined"/>
              <w:spacing w:before="20" w:after="20"/>
              <w:rPr>
                <w:rFonts w:cs="Arial"/>
              </w:rPr>
            </w:pPr>
            <w:r w:rsidRPr="00F4129E">
              <w:rPr>
                <w:rFonts w:cs="Arial"/>
              </w:rPr>
              <w:t>15 - 41</w:t>
            </w:r>
          </w:p>
        </w:tc>
        <w:tc>
          <w:tcPr>
            <w:tcW w:w="1034" w:type="dxa"/>
            <w:vAlign w:val="center"/>
          </w:tcPr>
          <w:p w14:paraId="18205CE8" w14:textId="77777777" w:rsidR="00631DFD" w:rsidRPr="00F4129E" w:rsidRDefault="00631DFD" w:rsidP="00D03502">
            <w:pPr>
              <w:pStyle w:val="wiTableUndefined"/>
              <w:spacing w:before="20" w:after="20"/>
              <w:rPr>
                <w:rFonts w:cs="Arial"/>
              </w:rPr>
            </w:pPr>
            <w:r w:rsidRPr="00F4129E">
              <w:rPr>
                <w:rFonts w:cs="Arial"/>
              </w:rPr>
              <w:t>19 - 45</w:t>
            </w:r>
          </w:p>
        </w:tc>
        <w:tc>
          <w:tcPr>
            <w:tcW w:w="1035" w:type="dxa"/>
            <w:vAlign w:val="center"/>
          </w:tcPr>
          <w:p w14:paraId="2C98DBF7" w14:textId="77777777" w:rsidR="00631DFD" w:rsidRPr="00F4129E" w:rsidRDefault="00631DFD" w:rsidP="00D03502">
            <w:pPr>
              <w:pStyle w:val="wiTableUndefined"/>
              <w:spacing w:before="20" w:after="20"/>
              <w:rPr>
                <w:rFonts w:cs="Arial"/>
              </w:rPr>
            </w:pPr>
            <w:r w:rsidRPr="00F4129E">
              <w:rPr>
                <w:rFonts w:cs="Arial"/>
              </w:rPr>
              <w:t>23 - 49</w:t>
            </w:r>
          </w:p>
        </w:tc>
        <w:tc>
          <w:tcPr>
            <w:tcW w:w="1035" w:type="dxa"/>
            <w:vAlign w:val="center"/>
          </w:tcPr>
          <w:p w14:paraId="7F3B6898" w14:textId="77777777" w:rsidR="00631DFD" w:rsidRPr="00F4129E" w:rsidRDefault="00631DFD" w:rsidP="00D03502">
            <w:pPr>
              <w:pStyle w:val="wiTableUndefined"/>
              <w:spacing w:before="20" w:after="20"/>
              <w:rPr>
                <w:rFonts w:cs="Arial"/>
              </w:rPr>
            </w:pPr>
            <w:r w:rsidRPr="00F4129E">
              <w:rPr>
                <w:rFonts w:cs="Arial"/>
              </w:rPr>
              <w:t>28 - 58</w:t>
            </w:r>
          </w:p>
        </w:tc>
        <w:tc>
          <w:tcPr>
            <w:tcW w:w="1035" w:type="dxa"/>
            <w:vAlign w:val="center"/>
          </w:tcPr>
          <w:p w14:paraId="25289591" w14:textId="77777777" w:rsidR="00631DFD" w:rsidRPr="00F4129E" w:rsidRDefault="00631DFD" w:rsidP="00D03502">
            <w:pPr>
              <w:pStyle w:val="wiTableUndefined"/>
              <w:spacing w:before="20" w:after="20"/>
              <w:rPr>
                <w:rFonts w:cs="Arial"/>
              </w:rPr>
            </w:pPr>
            <w:r w:rsidRPr="00F4129E">
              <w:rPr>
                <w:rFonts w:cs="Arial"/>
              </w:rPr>
              <w:t>32 - 67</w:t>
            </w:r>
          </w:p>
        </w:tc>
        <w:tc>
          <w:tcPr>
            <w:tcW w:w="1035" w:type="dxa"/>
            <w:vAlign w:val="center"/>
          </w:tcPr>
          <w:p w14:paraId="20FEA961" w14:textId="77777777" w:rsidR="00631DFD" w:rsidRPr="00E04290" w:rsidRDefault="00631DFD" w:rsidP="00D03502">
            <w:pPr>
              <w:pStyle w:val="wiTableUndefined"/>
            </w:pPr>
            <w:r w:rsidRPr="00E04290">
              <w:t xml:space="preserve">90 </w:t>
            </w:r>
            <w:proofErr w:type="gramStart"/>
            <w:r w:rsidRPr="00E04290">
              <w:t>max</w:t>
            </w:r>
            <w:proofErr w:type="gramEnd"/>
          </w:p>
        </w:tc>
        <w:tc>
          <w:tcPr>
            <w:tcW w:w="1035" w:type="dxa"/>
            <w:vAlign w:val="center"/>
          </w:tcPr>
          <w:p w14:paraId="64B4AF93" w14:textId="77777777" w:rsidR="00631DFD" w:rsidRPr="00F4129E" w:rsidRDefault="00631DFD" w:rsidP="00D03502">
            <w:pPr>
              <w:pStyle w:val="wiTableUndefined"/>
              <w:spacing w:before="20" w:after="20"/>
              <w:rPr>
                <w:rFonts w:cs="Arial"/>
              </w:rPr>
            </w:pPr>
            <w:r w:rsidRPr="00F4129E">
              <w:rPr>
                <w:rFonts w:cs="Arial"/>
              </w:rPr>
              <w:t>15 - 25</w:t>
            </w:r>
          </w:p>
        </w:tc>
        <w:tc>
          <w:tcPr>
            <w:tcW w:w="1036" w:type="dxa"/>
            <w:vAlign w:val="center"/>
          </w:tcPr>
          <w:p w14:paraId="02C0833B" w14:textId="77777777" w:rsidR="00631DFD" w:rsidRPr="00F4129E" w:rsidRDefault="00631DFD" w:rsidP="00D03502">
            <w:pPr>
              <w:pStyle w:val="wiTableUndefined"/>
              <w:spacing w:before="20" w:after="20"/>
              <w:rPr>
                <w:rFonts w:cs="Arial"/>
              </w:rPr>
            </w:pPr>
            <w:r w:rsidRPr="00F4129E">
              <w:rPr>
                <w:rFonts w:cs="Arial"/>
              </w:rPr>
              <w:t>18 - 28</w:t>
            </w:r>
          </w:p>
        </w:tc>
      </w:tr>
      <w:tr w:rsidR="00631DFD" w:rsidRPr="00F4129E" w14:paraId="3AABB89B" w14:textId="77777777" w:rsidTr="00E04290">
        <w:trPr>
          <w:jc w:val="center"/>
        </w:trPr>
        <w:tc>
          <w:tcPr>
            <w:tcW w:w="1081" w:type="dxa"/>
          </w:tcPr>
          <w:p w14:paraId="2C0651B1" w14:textId="77777777" w:rsidR="00631DFD" w:rsidRPr="00F4129E" w:rsidRDefault="00631DFD" w:rsidP="00D03502">
            <w:pPr>
              <w:pStyle w:val="wiTableUndefined"/>
            </w:pPr>
            <w:r w:rsidRPr="00F4129E">
              <w:t>1.18-mm</w:t>
            </w:r>
            <w:r w:rsidRPr="00F4129E">
              <w:br/>
              <w:t>(No. 16)</w:t>
            </w:r>
          </w:p>
        </w:tc>
        <w:tc>
          <w:tcPr>
            <w:tcW w:w="1034" w:type="dxa"/>
          </w:tcPr>
          <w:p w14:paraId="0978B05F" w14:textId="77777777" w:rsidR="00631DFD" w:rsidRPr="00F4129E" w:rsidRDefault="00631DFD" w:rsidP="00D03502">
            <w:pPr>
              <w:pStyle w:val="wiTableUndefined"/>
            </w:pPr>
            <w:r w:rsidRPr="00F4129E">
              <w:t>___</w:t>
            </w:r>
          </w:p>
        </w:tc>
        <w:tc>
          <w:tcPr>
            <w:tcW w:w="1034" w:type="dxa"/>
          </w:tcPr>
          <w:p w14:paraId="7612E168" w14:textId="77777777" w:rsidR="00631DFD" w:rsidRPr="00F4129E" w:rsidRDefault="00631DFD" w:rsidP="00D03502">
            <w:pPr>
              <w:pStyle w:val="wiTableUndefined"/>
            </w:pPr>
            <w:r w:rsidRPr="00F4129E">
              <w:t>___</w:t>
            </w:r>
          </w:p>
        </w:tc>
        <w:tc>
          <w:tcPr>
            <w:tcW w:w="1035" w:type="dxa"/>
          </w:tcPr>
          <w:p w14:paraId="4D5E5C20" w14:textId="77777777" w:rsidR="00631DFD" w:rsidRPr="00F4129E" w:rsidRDefault="00631DFD" w:rsidP="00D03502">
            <w:pPr>
              <w:pStyle w:val="wiTableUndefined"/>
            </w:pPr>
            <w:r w:rsidRPr="00F4129E">
              <w:t>___</w:t>
            </w:r>
          </w:p>
        </w:tc>
        <w:tc>
          <w:tcPr>
            <w:tcW w:w="1035" w:type="dxa"/>
          </w:tcPr>
          <w:p w14:paraId="38010F84" w14:textId="77777777" w:rsidR="00631DFD" w:rsidRPr="00F4129E" w:rsidRDefault="00631DFD" w:rsidP="00D03502">
            <w:pPr>
              <w:pStyle w:val="wiTableUndefined"/>
            </w:pPr>
            <w:r w:rsidRPr="00F4129E">
              <w:t>___</w:t>
            </w:r>
          </w:p>
        </w:tc>
        <w:tc>
          <w:tcPr>
            <w:tcW w:w="1035" w:type="dxa"/>
          </w:tcPr>
          <w:p w14:paraId="1BBD1744" w14:textId="77777777" w:rsidR="00631DFD" w:rsidRPr="00F4129E" w:rsidRDefault="00631DFD" w:rsidP="00D03502">
            <w:pPr>
              <w:pStyle w:val="wiTableUndefined"/>
            </w:pPr>
            <w:r w:rsidRPr="00F4129E">
              <w:t>___</w:t>
            </w:r>
          </w:p>
        </w:tc>
        <w:tc>
          <w:tcPr>
            <w:tcW w:w="1035" w:type="dxa"/>
            <w:vAlign w:val="center"/>
          </w:tcPr>
          <w:p w14:paraId="40325D27" w14:textId="77777777" w:rsidR="00631DFD" w:rsidRPr="00E04290" w:rsidRDefault="00631DFD" w:rsidP="00D03502">
            <w:pPr>
              <w:pStyle w:val="wiTableUndefined"/>
            </w:pPr>
            <w:r w:rsidRPr="00E04290">
              <w:t>30 - 55</w:t>
            </w:r>
          </w:p>
        </w:tc>
        <w:tc>
          <w:tcPr>
            <w:tcW w:w="1035" w:type="dxa"/>
          </w:tcPr>
          <w:p w14:paraId="672C65A6" w14:textId="77777777" w:rsidR="00631DFD" w:rsidRPr="00F4129E" w:rsidRDefault="00631DFD" w:rsidP="00D03502">
            <w:pPr>
              <w:pStyle w:val="wiTableUndefined"/>
            </w:pPr>
            <w:r w:rsidRPr="00F4129E">
              <w:t>___</w:t>
            </w:r>
          </w:p>
        </w:tc>
        <w:tc>
          <w:tcPr>
            <w:tcW w:w="1036" w:type="dxa"/>
          </w:tcPr>
          <w:p w14:paraId="2D449242" w14:textId="77777777" w:rsidR="00631DFD" w:rsidRPr="00F4129E" w:rsidRDefault="00631DFD" w:rsidP="00D03502">
            <w:pPr>
              <w:pStyle w:val="wiTableUndefined"/>
            </w:pPr>
            <w:r w:rsidRPr="00F4129E">
              <w:t>___</w:t>
            </w:r>
          </w:p>
        </w:tc>
      </w:tr>
      <w:tr w:rsidR="00631DFD" w:rsidRPr="00F4129E" w14:paraId="6C38CE77" w14:textId="77777777" w:rsidTr="00E04290">
        <w:trPr>
          <w:jc w:val="center"/>
        </w:trPr>
        <w:tc>
          <w:tcPr>
            <w:tcW w:w="1081" w:type="dxa"/>
          </w:tcPr>
          <w:p w14:paraId="68D5E8D9" w14:textId="77777777" w:rsidR="00631DFD" w:rsidRPr="00F4129E" w:rsidRDefault="00631DFD" w:rsidP="00D03502">
            <w:pPr>
              <w:pStyle w:val="wiTableUndefined"/>
              <w:spacing w:before="20" w:after="20"/>
            </w:pPr>
            <w:r w:rsidRPr="00F4129E">
              <w:t>0.60-mm</w:t>
            </w:r>
            <w:r w:rsidRPr="00F4129E">
              <w:br/>
              <w:t>(No. 30)</w:t>
            </w:r>
          </w:p>
        </w:tc>
        <w:tc>
          <w:tcPr>
            <w:tcW w:w="1034" w:type="dxa"/>
          </w:tcPr>
          <w:p w14:paraId="7152C52A" w14:textId="77777777" w:rsidR="00631DFD" w:rsidRPr="00F4129E" w:rsidRDefault="00631DFD" w:rsidP="00D03502">
            <w:pPr>
              <w:pStyle w:val="wiTableUndefined"/>
              <w:spacing w:before="20" w:after="20"/>
              <w:rPr>
                <w:rFonts w:cs="Arial"/>
              </w:rPr>
            </w:pPr>
            <w:r w:rsidRPr="00F4129E">
              <w:rPr>
                <w:rFonts w:cs="Arial"/>
              </w:rPr>
              <w:t>___</w:t>
            </w:r>
          </w:p>
        </w:tc>
        <w:tc>
          <w:tcPr>
            <w:tcW w:w="1034" w:type="dxa"/>
          </w:tcPr>
          <w:p w14:paraId="0F62D186" w14:textId="77777777" w:rsidR="00631DFD" w:rsidRPr="00F4129E" w:rsidRDefault="00631DFD" w:rsidP="00D03502">
            <w:pPr>
              <w:pStyle w:val="wiTableUndefined"/>
              <w:spacing w:before="20" w:after="20"/>
              <w:rPr>
                <w:rFonts w:cs="Arial"/>
              </w:rPr>
            </w:pPr>
            <w:r w:rsidRPr="00F4129E">
              <w:rPr>
                <w:rFonts w:cs="Arial"/>
              </w:rPr>
              <w:t>___</w:t>
            </w:r>
          </w:p>
        </w:tc>
        <w:tc>
          <w:tcPr>
            <w:tcW w:w="1035" w:type="dxa"/>
          </w:tcPr>
          <w:p w14:paraId="5D0CBF7E" w14:textId="77777777" w:rsidR="00631DFD" w:rsidRPr="00F4129E" w:rsidRDefault="00631DFD" w:rsidP="00D03502">
            <w:pPr>
              <w:pStyle w:val="wiTableUndefined"/>
              <w:spacing w:before="20" w:after="20"/>
              <w:rPr>
                <w:rFonts w:cs="Arial"/>
              </w:rPr>
            </w:pPr>
            <w:r w:rsidRPr="00F4129E">
              <w:rPr>
                <w:rFonts w:cs="Arial"/>
              </w:rPr>
              <w:t>___</w:t>
            </w:r>
          </w:p>
        </w:tc>
        <w:tc>
          <w:tcPr>
            <w:tcW w:w="1035" w:type="dxa"/>
          </w:tcPr>
          <w:p w14:paraId="4D1B3F5B" w14:textId="77777777" w:rsidR="00631DFD" w:rsidRPr="00F4129E" w:rsidRDefault="00631DFD" w:rsidP="00D03502">
            <w:pPr>
              <w:pStyle w:val="wiTableUndefined"/>
              <w:spacing w:before="20" w:after="20"/>
              <w:rPr>
                <w:rFonts w:cs="Arial"/>
              </w:rPr>
            </w:pPr>
            <w:r w:rsidRPr="00F4129E">
              <w:rPr>
                <w:rFonts w:cs="Arial"/>
              </w:rPr>
              <w:t>___</w:t>
            </w:r>
          </w:p>
        </w:tc>
        <w:tc>
          <w:tcPr>
            <w:tcW w:w="1035" w:type="dxa"/>
          </w:tcPr>
          <w:p w14:paraId="295A6631" w14:textId="77777777" w:rsidR="00631DFD" w:rsidRPr="00F4129E" w:rsidRDefault="00631DFD" w:rsidP="00D03502">
            <w:pPr>
              <w:pStyle w:val="wiTableUndefined"/>
              <w:spacing w:before="20" w:after="20"/>
              <w:rPr>
                <w:rFonts w:cs="Arial"/>
              </w:rPr>
            </w:pPr>
            <w:r w:rsidRPr="00F4129E">
              <w:rPr>
                <w:rFonts w:cs="Arial"/>
              </w:rPr>
              <w:t>___</w:t>
            </w:r>
          </w:p>
        </w:tc>
        <w:tc>
          <w:tcPr>
            <w:tcW w:w="1035" w:type="dxa"/>
          </w:tcPr>
          <w:p w14:paraId="0C0F415E" w14:textId="77777777" w:rsidR="00631DFD" w:rsidRPr="00E04290" w:rsidRDefault="00631DFD" w:rsidP="00D03502">
            <w:pPr>
              <w:pStyle w:val="wiTableUndefined"/>
            </w:pPr>
            <w:r w:rsidRPr="00E04290">
              <w:t>___</w:t>
            </w:r>
          </w:p>
        </w:tc>
        <w:tc>
          <w:tcPr>
            <w:tcW w:w="1035" w:type="dxa"/>
          </w:tcPr>
          <w:p w14:paraId="404B6547" w14:textId="77777777" w:rsidR="00631DFD" w:rsidRPr="00F4129E" w:rsidRDefault="00631DFD" w:rsidP="00D03502">
            <w:pPr>
              <w:pStyle w:val="wiTableUndefined"/>
              <w:spacing w:before="20" w:after="20"/>
              <w:rPr>
                <w:rFonts w:cs="Arial"/>
              </w:rPr>
            </w:pPr>
            <w:r w:rsidRPr="00F4129E">
              <w:rPr>
                <w:rFonts w:cs="Arial"/>
              </w:rPr>
              <w:t xml:space="preserve">18 </w:t>
            </w:r>
            <w:proofErr w:type="gramStart"/>
            <w:r w:rsidRPr="00F4129E">
              <w:rPr>
                <w:rFonts w:cs="Arial"/>
              </w:rPr>
              <w:t>max</w:t>
            </w:r>
            <w:proofErr w:type="gramEnd"/>
          </w:p>
        </w:tc>
        <w:tc>
          <w:tcPr>
            <w:tcW w:w="1036" w:type="dxa"/>
          </w:tcPr>
          <w:p w14:paraId="27791C20" w14:textId="77777777" w:rsidR="00631DFD" w:rsidRPr="00F4129E" w:rsidRDefault="00631DFD" w:rsidP="00D03502">
            <w:pPr>
              <w:pStyle w:val="wiTableUndefined"/>
              <w:spacing w:before="20" w:after="20"/>
              <w:rPr>
                <w:rFonts w:cs="Arial"/>
              </w:rPr>
            </w:pPr>
            <w:r w:rsidRPr="00F4129E">
              <w:rPr>
                <w:rFonts w:cs="Arial"/>
              </w:rPr>
              <w:t xml:space="preserve">18 </w:t>
            </w:r>
            <w:proofErr w:type="gramStart"/>
            <w:r w:rsidRPr="00F4129E">
              <w:rPr>
                <w:rFonts w:cs="Arial"/>
              </w:rPr>
              <w:t>max</w:t>
            </w:r>
            <w:proofErr w:type="gramEnd"/>
          </w:p>
        </w:tc>
      </w:tr>
      <w:tr w:rsidR="00631DFD" w:rsidRPr="00F4129E" w14:paraId="2F210CFF" w14:textId="77777777" w:rsidTr="00E04290">
        <w:trPr>
          <w:jc w:val="center"/>
        </w:trPr>
        <w:tc>
          <w:tcPr>
            <w:tcW w:w="1081" w:type="dxa"/>
            <w:vAlign w:val="center"/>
          </w:tcPr>
          <w:p w14:paraId="5A559913" w14:textId="77777777" w:rsidR="00631DFD" w:rsidRPr="00F4129E" w:rsidRDefault="00631DFD" w:rsidP="00D03502">
            <w:pPr>
              <w:pStyle w:val="wiTableUndefined"/>
              <w:spacing w:before="20" w:after="20"/>
            </w:pPr>
            <w:r w:rsidRPr="00F4129E">
              <w:t>0.075-mm</w:t>
            </w:r>
            <w:r w:rsidRPr="00F4129E">
              <w:br/>
              <w:t>(No. 200)</w:t>
            </w:r>
          </w:p>
        </w:tc>
        <w:tc>
          <w:tcPr>
            <w:tcW w:w="1034" w:type="dxa"/>
            <w:vAlign w:val="center"/>
          </w:tcPr>
          <w:p w14:paraId="20DE52D5" w14:textId="77777777" w:rsidR="00631DFD" w:rsidRPr="00F4129E" w:rsidRDefault="00631DFD" w:rsidP="00D03502">
            <w:pPr>
              <w:pStyle w:val="wiTableUndefined"/>
              <w:spacing w:before="20" w:after="20"/>
              <w:rPr>
                <w:rFonts w:cs="Arial"/>
              </w:rPr>
            </w:pPr>
            <w:r w:rsidRPr="00F4129E">
              <w:rPr>
                <w:rFonts w:cs="Arial"/>
              </w:rPr>
              <w:t>0 - 6.0</w:t>
            </w:r>
          </w:p>
        </w:tc>
        <w:tc>
          <w:tcPr>
            <w:tcW w:w="1034" w:type="dxa"/>
            <w:vAlign w:val="center"/>
          </w:tcPr>
          <w:p w14:paraId="0C1C828F" w14:textId="77777777" w:rsidR="00631DFD" w:rsidRPr="00F4129E" w:rsidRDefault="00631DFD" w:rsidP="00D03502">
            <w:pPr>
              <w:pStyle w:val="wiTableUndefined"/>
              <w:spacing w:before="20" w:after="20"/>
              <w:rPr>
                <w:rFonts w:cs="Arial"/>
              </w:rPr>
            </w:pPr>
            <w:r w:rsidRPr="00F4129E">
              <w:rPr>
                <w:rFonts w:cs="Arial"/>
              </w:rPr>
              <w:t>1.0 - 7.0</w:t>
            </w:r>
          </w:p>
        </w:tc>
        <w:tc>
          <w:tcPr>
            <w:tcW w:w="1035" w:type="dxa"/>
            <w:vAlign w:val="center"/>
          </w:tcPr>
          <w:p w14:paraId="3CC95EDF" w14:textId="77777777" w:rsidR="00631DFD" w:rsidRPr="00F4129E" w:rsidRDefault="00631DFD" w:rsidP="00D03502">
            <w:pPr>
              <w:pStyle w:val="wiTableUndefined"/>
              <w:spacing w:before="20" w:after="20"/>
              <w:rPr>
                <w:rFonts w:cs="Arial"/>
              </w:rPr>
            </w:pPr>
            <w:r w:rsidRPr="00F4129E">
              <w:rPr>
                <w:rFonts w:cs="Arial"/>
              </w:rPr>
              <w:t>2.0 - 8.0</w:t>
            </w:r>
          </w:p>
        </w:tc>
        <w:tc>
          <w:tcPr>
            <w:tcW w:w="1035" w:type="dxa"/>
            <w:vAlign w:val="center"/>
          </w:tcPr>
          <w:p w14:paraId="14497053" w14:textId="77777777" w:rsidR="00631DFD" w:rsidRPr="00F4129E" w:rsidRDefault="00631DFD" w:rsidP="00D03502">
            <w:pPr>
              <w:pStyle w:val="wiTableUndefined"/>
              <w:spacing w:before="20" w:after="20"/>
              <w:rPr>
                <w:rFonts w:cs="Arial"/>
              </w:rPr>
            </w:pPr>
            <w:r w:rsidRPr="00F4129E">
              <w:rPr>
                <w:rFonts w:cs="Arial"/>
              </w:rPr>
              <w:t>2.0 - 10.0</w:t>
            </w:r>
          </w:p>
        </w:tc>
        <w:tc>
          <w:tcPr>
            <w:tcW w:w="1035" w:type="dxa"/>
            <w:vAlign w:val="center"/>
          </w:tcPr>
          <w:p w14:paraId="6066D56D" w14:textId="77777777" w:rsidR="00631DFD" w:rsidRPr="00F4129E" w:rsidRDefault="00631DFD" w:rsidP="00D03502">
            <w:pPr>
              <w:pStyle w:val="wiTableUndefined"/>
              <w:spacing w:before="20" w:after="20"/>
              <w:rPr>
                <w:rFonts w:cs="Arial"/>
              </w:rPr>
            </w:pPr>
            <w:r w:rsidRPr="00F4129E">
              <w:rPr>
                <w:rFonts w:cs="Arial"/>
              </w:rPr>
              <w:t>2.0 - 10.0</w:t>
            </w:r>
          </w:p>
        </w:tc>
        <w:tc>
          <w:tcPr>
            <w:tcW w:w="1035" w:type="dxa"/>
            <w:vAlign w:val="center"/>
          </w:tcPr>
          <w:p w14:paraId="6416960E" w14:textId="77777777" w:rsidR="00631DFD" w:rsidRPr="00E04290" w:rsidRDefault="00631DFD" w:rsidP="00D03502">
            <w:pPr>
              <w:pStyle w:val="wiTableUndefined"/>
            </w:pPr>
            <w:r w:rsidRPr="00E04290">
              <w:t>6.0 - 13.0</w:t>
            </w:r>
          </w:p>
        </w:tc>
        <w:tc>
          <w:tcPr>
            <w:tcW w:w="1035" w:type="dxa"/>
            <w:vAlign w:val="center"/>
          </w:tcPr>
          <w:p w14:paraId="518780A9" w14:textId="77777777" w:rsidR="00631DFD" w:rsidRPr="00F4129E" w:rsidRDefault="00631DFD" w:rsidP="00D03502">
            <w:pPr>
              <w:pStyle w:val="wiTableUndefined"/>
              <w:spacing w:before="20" w:after="20"/>
              <w:rPr>
                <w:rFonts w:cs="Arial"/>
              </w:rPr>
            </w:pPr>
            <w:r w:rsidRPr="00F4129E">
              <w:rPr>
                <w:rFonts w:cs="Arial"/>
              </w:rPr>
              <w:t>8.0 - 11.0</w:t>
            </w:r>
          </w:p>
        </w:tc>
        <w:tc>
          <w:tcPr>
            <w:tcW w:w="1036" w:type="dxa"/>
            <w:vAlign w:val="center"/>
          </w:tcPr>
          <w:p w14:paraId="565FAA9C" w14:textId="77777777" w:rsidR="00631DFD" w:rsidRPr="00F4129E" w:rsidRDefault="00631DFD" w:rsidP="00D03502">
            <w:pPr>
              <w:pStyle w:val="wiTableUndefined"/>
              <w:spacing w:before="20" w:after="20"/>
            </w:pPr>
            <w:r w:rsidRPr="00F4129E">
              <w:t>8.0 - 12.0</w:t>
            </w:r>
          </w:p>
        </w:tc>
      </w:tr>
      <w:tr w:rsidR="00631DFD" w:rsidRPr="00F4129E" w14:paraId="43C3B311" w14:textId="77777777" w:rsidTr="00E04290">
        <w:trPr>
          <w:trHeight w:val="395"/>
          <w:jc w:val="center"/>
        </w:trPr>
        <w:tc>
          <w:tcPr>
            <w:tcW w:w="1081" w:type="dxa"/>
            <w:vAlign w:val="center"/>
          </w:tcPr>
          <w:p w14:paraId="21FC62D0" w14:textId="77777777" w:rsidR="00631DFD" w:rsidRPr="00F4129E" w:rsidRDefault="00631DFD" w:rsidP="00D03502">
            <w:pPr>
              <w:pStyle w:val="wiTableUndefined"/>
              <w:spacing w:before="20" w:after="20"/>
            </w:pPr>
            <w:r w:rsidRPr="00F4129E">
              <w:t>% VMA</w:t>
            </w:r>
          </w:p>
        </w:tc>
        <w:tc>
          <w:tcPr>
            <w:tcW w:w="1034" w:type="dxa"/>
            <w:vAlign w:val="center"/>
          </w:tcPr>
          <w:p w14:paraId="6A6786AC" w14:textId="7F2998C6" w:rsidR="00631DFD" w:rsidRPr="000E515B" w:rsidRDefault="00B245F3" w:rsidP="00D03502">
            <w:pPr>
              <w:pStyle w:val="wiTableUndefined"/>
              <w:spacing w:before="20" w:after="20"/>
              <w:rPr>
                <w:rFonts w:cs="Arial"/>
              </w:rPr>
            </w:pPr>
            <w:r w:rsidRPr="000E515B">
              <w:rPr>
                <w:rFonts w:cs="Arial"/>
              </w:rPr>
              <w:t xml:space="preserve">Min. </w:t>
            </w:r>
            <w:r w:rsidR="00631DFD" w:rsidRPr="000E515B">
              <w:rPr>
                <w:rFonts w:cs="Arial"/>
              </w:rPr>
              <w:t>11.0</w:t>
            </w:r>
          </w:p>
        </w:tc>
        <w:tc>
          <w:tcPr>
            <w:tcW w:w="1034" w:type="dxa"/>
            <w:vAlign w:val="center"/>
          </w:tcPr>
          <w:p w14:paraId="20A66EC5" w14:textId="53B5C740" w:rsidR="00631DFD" w:rsidRPr="000E515B" w:rsidRDefault="00B245F3" w:rsidP="00D03502">
            <w:pPr>
              <w:pStyle w:val="wiTableUndefined"/>
              <w:spacing w:before="20" w:after="20"/>
              <w:rPr>
                <w:rFonts w:cs="Arial"/>
              </w:rPr>
            </w:pPr>
            <w:r w:rsidRPr="000E515B">
              <w:rPr>
                <w:rFonts w:cs="Arial"/>
              </w:rPr>
              <w:t>Min.</w:t>
            </w:r>
            <w:r w:rsidR="00631DFD" w:rsidRPr="000E515B">
              <w:rPr>
                <w:rFonts w:cs="Arial"/>
              </w:rPr>
              <w:t>12.0</w:t>
            </w:r>
          </w:p>
        </w:tc>
        <w:tc>
          <w:tcPr>
            <w:tcW w:w="1035" w:type="dxa"/>
            <w:vAlign w:val="center"/>
          </w:tcPr>
          <w:p w14:paraId="2BF43FD4" w14:textId="492FF064" w:rsidR="00631DFD" w:rsidRPr="000E515B" w:rsidRDefault="00B245F3" w:rsidP="00D03502">
            <w:pPr>
              <w:pStyle w:val="wiTableUndefined"/>
              <w:spacing w:before="20" w:after="20"/>
              <w:rPr>
                <w:rFonts w:cs="Arial"/>
              </w:rPr>
            </w:pPr>
            <w:r w:rsidRPr="000E515B">
              <w:rPr>
                <w:rFonts w:cs="Arial"/>
              </w:rPr>
              <w:t xml:space="preserve">Min. </w:t>
            </w:r>
            <w:r w:rsidR="00631DFD" w:rsidRPr="000E515B">
              <w:rPr>
                <w:rFonts w:cs="Arial"/>
              </w:rPr>
              <w:t>13.0</w:t>
            </w:r>
          </w:p>
        </w:tc>
        <w:tc>
          <w:tcPr>
            <w:tcW w:w="1035" w:type="dxa"/>
            <w:vAlign w:val="center"/>
          </w:tcPr>
          <w:p w14:paraId="54416DB3" w14:textId="2DF712AD" w:rsidR="00631DFD" w:rsidRPr="000E515B" w:rsidRDefault="00B245F3" w:rsidP="00D03502">
            <w:pPr>
              <w:pStyle w:val="wiTableUndefined"/>
              <w:spacing w:before="20" w:after="20"/>
              <w:rPr>
                <w:rFonts w:cs="Arial"/>
              </w:rPr>
            </w:pPr>
            <w:r w:rsidRPr="000E515B">
              <w:rPr>
                <w:rFonts w:cs="Arial"/>
              </w:rPr>
              <w:t xml:space="preserve">Min. </w:t>
            </w:r>
            <w:r w:rsidR="00631DFD" w:rsidRPr="000E515B">
              <w:rPr>
                <w:rFonts w:cs="Arial"/>
              </w:rPr>
              <w:t>14.0</w:t>
            </w:r>
            <w:r w:rsidR="00631DFD" w:rsidRPr="000E515B">
              <w:rPr>
                <w:rFonts w:cs="Arial"/>
                <w:i/>
                <w:vertAlign w:val="superscript"/>
              </w:rPr>
              <w:t>[1]</w:t>
            </w:r>
          </w:p>
        </w:tc>
        <w:tc>
          <w:tcPr>
            <w:tcW w:w="1035" w:type="dxa"/>
            <w:vAlign w:val="center"/>
          </w:tcPr>
          <w:p w14:paraId="6D1A4304" w14:textId="4C8A14CE" w:rsidR="00631DFD" w:rsidRPr="000E515B" w:rsidRDefault="00B245F3" w:rsidP="00D03502">
            <w:pPr>
              <w:pStyle w:val="wiTableUndefined"/>
              <w:spacing w:before="20" w:after="20"/>
              <w:rPr>
                <w:rFonts w:cs="Arial"/>
              </w:rPr>
            </w:pPr>
            <w:r w:rsidRPr="000E515B">
              <w:rPr>
                <w:rFonts w:cs="Arial"/>
              </w:rPr>
              <w:t xml:space="preserve">Min. </w:t>
            </w:r>
            <w:r w:rsidR="00631DFD" w:rsidRPr="000E515B">
              <w:rPr>
                <w:rFonts w:cs="Arial"/>
              </w:rPr>
              <w:t>15.0</w:t>
            </w:r>
            <w:r w:rsidR="00631DFD" w:rsidRPr="000E515B">
              <w:rPr>
                <w:rFonts w:cs="Arial"/>
                <w:i/>
                <w:vertAlign w:val="superscript"/>
              </w:rPr>
              <w:t>[2]</w:t>
            </w:r>
          </w:p>
        </w:tc>
        <w:tc>
          <w:tcPr>
            <w:tcW w:w="1035" w:type="dxa"/>
          </w:tcPr>
          <w:p w14:paraId="2389EC3D" w14:textId="3DC1EACE" w:rsidR="00631DFD" w:rsidRPr="000E515B" w:rsidRDefault="00B245F3" w:rsidP="00D03502">
            <w:pPr>
              <w:pStyle w:val="wiTableUndefined"/>
            </w:pPr>
            <w:r w:rsidRPr="000E515B">
              <w:t>Min.</w:t>
            </w:r>
            <w:r w:rsidR="00631DFD" w:rsidRPr="000E515B">
              <w:t xml:space="preserve">16.0 </w:t>
            </w:r>
            <w:r w:rsidR="00F84FF4" w:rsidRPr="000E515B">
              <w:t>-</w:t>
            </w:r>
            <w:r w:rsidRPr="000E515B">
              <w:t xml:space="preserve">Max. </w:t>
            </w:r>
            <w:r w:rsidR="00631DFD" w:rsidRPr="000E515B">
              <w:t>17.5</w:t>
            </w:r>
          </w:p>
        </w:tc>
        <w:tc>
          <w:tcPr>
            <w:tcW w:w="1035" w:type="dxa"/>
            <w:vAlign w:val="center"/>
          </w:tcPr>
          <w:p w14:paraId="7D389654" w14:textId="12B04CBA" w:rsidR="00631DFD" w:rsidRPr="000E515B" w:rsidRDefault="00B245F3" w:rsidP="00D03502">
            <w:pPr>
              <w:pStyle w:val="wiTableUndefined"/>
              <w:spacing w:before="20" w:after="20"/>
              <w:rPr>
                <w:rFonts w:cs="Arial"/>
              </w:rPr>
            </w:pPr>
            <w:r w:rsidRPr="000E515B">
              <w:rPr>
                <w:rFonts w:cs="Arial"/>
              </w:rPr>
              <w:t xml:space="preserve">Min. </w:t>
            </w:r>
            <w:r w:rsidR="00631DFD" w:rsidRPr="000E515B">
              <w:rPr>
                <w:rFonts w:cs="Arial"/>
              </w:rPr>
              <w:t>16.0</w:t>
            </w:r>
          </w:p>
        </w:tc>
        <w:tc>
          <w:tcPr>
            <w:tcW w:w="1036" w:type="dxa"/>
            <w:vAlign w:val="center"/>
          </w:tcPr>
          <w:p w14:paraId="7EEC213A" w14:textId="2606C870" w:rsidR="00631DFD" w:rsidRPr="000E515B" w:rsidRDefault="00B245F3" w:rsidP="00D03502">
            <w:pPr>
              <w:pStyle w:val="wiTableUndefined"/>
              <w:spacing w:before="20" w:after="20"/>
              <w:rPr>
                <w:rFonts w:cs="Arial"/>
              </w:rPr>
            </w:pPr>
            <w:r w:rsidRPr="000E515B">
              <w:rPr>
                <w:rFonts w:cs="Arial"/>
              </w:rPr>
              <w:t xml:space="preserve">Min. </w:t>
            </w:r>
            <w:r w:rsidR="00631DFD" w:rsidRPr="000E515B">
              <w:rPr>
                <w:rFonts w:cs="Arial"/>
              </w:rPr>
              <w:t>17.0</w:t>
            </w:r>
          </w:p>
        </w:tc>
      </w:tr>
    </w:tbl>
    <w:p w14:paraId="45B97CE6" w14:textId="77777777" w:rsidR="00631DFD" w:rsidRPr="00F4129E" w:rsidRDefault="00631DFD" w:rsidP="00631DFD">
      <w:pPr>
        <w:pStyle w:val="wiTableFooter"/>
        <w:keepNext/>
      </w:pPr>
      <w:r w:rsidRPr="00F4129E">
        <w:tab/>
      </w:r>
      <w:r w:rsidRPr="00F4129E">
        <w:rPr>
          <w:i/>
          <w:vertAlign w:val="superscript"/>
        </w:rPr>
        <w:t>[1]</w:t>
      </w:r>
      <w:r w:rsidRPr="00F4129E">
        <w:tab/>
        <w:t>14.5 for LT and MT mixes.</w:t>
      </w:r>
    </w:p>
    <w:p w14:paraId="77F968B4" w14:textId="205CCABD" w:rsidR="00631DFD" w:rsidRDefault="00631DFD" w:rsidP="00631DFD">
      <w:pPr>
        <w:pStyle w:val="wiTableFooter"/>
      </w:pPr>
      <w:r w:rsidRPr="00F4129E">
        <w:tab/>
      </w:r>
      <w:r w:rsidRPr="00F4129E">
        <w:rPr>
          <w:i/>
          <w:vertAlign w:val="superscript"/>
        </w:rPr>
        <w:t>[2]</w:t>
      </w:r>
      <w:r w:rsidRPr="00F4129E">
        <w:tab/>
        <w:t>15.5 for LT and MT mixes.</w:t>
      </w:r>
    </w:p>
    <w:p w14:paraId="6107957D" w14:textId="7466599F" w:rsidR="007062A8" w:rsidRPr="007062A8" w:rsidRDefault="007062A8" w:rsidP="007062A8">
      <w:pPr>
        <w:pStyle w:val="wiTableBuffer"/>
      </w:pPr>
    </w:p>
    <w:bookmarkEnd w:id="2"/>
    <w:bookmarkEnd w:id="3"/>
    <w:bookmarkEnd w:id="4"/>
    <w:p w14:paraId="3632C9D6" w14:textId="77777777" w:rsidR="00631DFD" w:rsidRPr="00F4129E" w:rsidRDefault="00631DFD" w:rsidP="00631DFD">
      <w:pPr>
        <w:pStyle w:val="wiHeading2"/>
      </w:pPr>
      <w:proofErr w:type="gramStart"/>
      <w:r w:rsidRPr="00F4129E">
        <w:t>460.2.3  Asphaltic</w:t>
      </w:r>
      <w:proofErr w:type="gramEnd"/>
      <w:r w:rsidRPr="00F4129E">
        <w:t xml:space="preserve"> Binders</w:t>
      </w:r>
    </w:p>
    <w:p w14:paraId="5575E7BD" w14:textId="77777777" w:rsidR="00631DFD" w:rsidRPr="00F4129E" w:rsidRDefault="00631DFD" w:rsidP="00631DFD">
      <w:pPr>
        <w:pStyle w:val="wiParagraph"/>
      </w:pPr>
      <w:r w:rsidRPr="00F4129E">
        <w:tab/>
      </w:r>
      <w:r w:rsidRPr="00F4129E">
        <w:rPr>
          <w:rStyle w:val="wiParagraphNumber"/>
        </w:rPr>
        <w:t>(1)</w:t>
      </w:r>
      <w:r w:rsidRPr="00F4129E">
        <w:tab/>
        <w:t xml:space="preserve">The department will designate the grade of asphaltic binder in the </w:t>
      </w:r>
      <w:proofErr w:type="spellStart"/>
      <w:r w:rsidRPr="00F4129E">
        <w:t>HMA</w:t>
      </w:r>
      <w:proofErr w:type="spellEnd"/>
      <w:r w:rsidRPr="00F4129E">
        <w:t xml:space="preserve"> Pavement bid item. Use the binder grade the bid item specifies. Do not change the PG binder grade without the engineer's written approval. The department will designate the grade of virgin asphaltic binder in the </w:t>
      </w:r>
      <w:proofErr w:type="gramStart"/>
      <w:r w:rsidRPr="00F4129E">
        <w:t>contract,</w:t>
      </w:r>
      <w:proofErr w:type="gramEnd"/>
      <w:r w:rsidRPr="00F4129E">
        <w:t xml:space="preserve"> however, the contractor may use virgin binder, modified binder, a blend of virgin and recovered binder, or a blend of modified and recovered binder.</w:t>
      </w:r>
    </w:p>
    <w:p w14:paraId="27482510" w14:textId="77777777" w:rsidR="00631DFD" w:rsidRPr="00F4129E" w:rsidRDefault="00631DFD" w:rsidP="00631DFD">
      <w:pPr>
        <w:pStyle w:val="wiHeading2"/>
      </w:pPr>
      <w:proofErr w:type="gramStart"/>
      <w:r w:rsidRPr="00F4129E">
        <w:t>460.2.4  Additives</w:t>
      </w:r>
      <w:proofErr w:type="gramEnd"/>
    </w:p>
    <w:p w14:paraId="15C2A3C4" w14:textId="77777777" w:rsidR="00631DFD" w:rsidRPr="00F4129E" w:rsidRDefault="00631DFD" w:rsidP="00631DFD">
      <w:pPr>
        <w:pStyle w:val="wiHeading3"/>
      </w:pPr>
      <w:proofErr w:type="gramStart"/>
      <w:r w:rsidRPr="00F4129E">
        <w:t>460.2.4.1  Hydrated</w:t>
      </w:r>
      <w:proofErr w:type="gramEnd"/>
      <w:r w:rsidRPr="00F4129E">
        <w:t xml:space="preserve"> Lime Antistripping Agent</w:t>
      </w:r>
    </w:p>
    <w:p w14:paraId="67115E95" w14:textId="77777777" w:rsidR="00631DFD" w:rsidRPr="00F4129E" w:rsidRDefault="00631DFD" w:rsidP="00631DFD">
      <w:pPr>
        <w:pStyle w:val="wiParagraph"/>
      </w:pPr>
      <w:r w:rsidRPr="00F4129E">
        <w:tab/>
      </w:r>
      <w:r w:rsidRPr="00F4129E">
        <w:rPr>
          <w:rStyle w:val="wiParagraphNumber"/>
        </w:rPr>
        <w:t>(1)</w:t>
      </w:r>
      <w:r w:rsidRPr="00F4129E">
        <w:tab/>
        <w:t xml:space="preserve">If used in </w:t>
      </w:r>
      <w:proofErr w:type="spellStart"/>
      <w:r w:rsidRPr="00F4129E">
        <w:t>HMA</w:t>
      </w:r>
      <w:proofErr w:type="spellEnd"/>
      <w:r w:rsidRPr="00F4129E">
        <w:t xml:space="preserve"> mixtures, furnish hydrated lime conforming to </w:t>
      </w:r>
      <w:r w:rsidRPr="00F4129E">
        <w:rPr>
          <w:rStyle w:val="wiLink"/>
        </w:rPr>
        <w:t>ASTM C977</w:t>
      </w:r>
      <w:r w:rsidRPr="00F4129E">
        <w:t xml:space="preserve"> and containing no more than 8 percent </w:t>
      </w:r>
      <w:proofErr w:type="spellStart"/>
      <w:r w:rsidRPr="00F4129E">
        <w:t>unhydrated</w:t>
      </w:r>
      <w:proofErr w:type="spellEnd"/>
      <w:r w:rsidRPr="00F4129E">
        <w:t xml:space="preserve"> oxides. Percent added is by weight of the total dry aggregate.</w:t>
      </w:r>
    </w:p>
    <w:p w14:paraId="206665CE" w14:textId="77777777" w:rsidR="00631DFD" w:rsidRPr="00F4129E" w:rsidRDefault="00631DFD" w:rsidP="00631DFD">
      <w:pPr>
        <w:pStyle w:val="wiHeading3"/>
      </w:pPr>
      <w:proofErr w:type="gramStart"/>
      <w:r w:rsidRPr="00F4129E">
        <w:t>460.2.4.2  Liquid</w:t>
      </w:r>
      <w:proofErr w:type="gramEnd"/>
      <w:r w:rsidRPr="00F4129E">
        <w:t xml:space="preserve"> Antistripping Agent</w:t>
      </w:r>
    </w:p>
    <w:p w14:paraId="135C43FD" w14:textId="77777777" w:rsidR="00631DFD" w:rsidRPr="00F4129E" w:rsidRDefault="00631DFD" w:rsidP="00631DFD">
      <w:pPr>
        <w:pStyle w:val="wiParagraph"/>
      </w:pPr>
      <w:r w:rsidRPr="00F4129E">
        <w:tab/>
      </w:r>
      <w:r w:rsidRPr="00F4129E">
        <w:rPr>
          <w:rStyle w:val="wiParagraphNumber"/>
        </w:rPr>
        <w:t>(1)</w:t>
      </w:r>
      <w:r w:rsidRPr="00F4129E">
        <w:tab/>
        <w:t xml:space="preserve">If used in </w:t>
      </w:r>
      <w:proofErr w:type="spellStart"/>
      <w:r w:rsidRPr="00F4129E">
        <w:t>HMA</w:t>
      </w:r>
      <w:proofErr w:type="spellEnd"/>
      <w:r w:rsidRPr="00F4129E">
        <w:t xml:space="preserve"> mixtures, add liquid antistripping agent to the asphaltic binder before introducing the binder into the mixture. Provide documentation indicating that addition of liquid antistripping agent will not alter the characteristics of the original asphaltic binder performance grade (PG).</w:t>
      </w:r>
    </w:p>
    <w:p w14:paraId="55A90492" w14:textId="77777777" w:rsidR="00631DFD" w:rsidRPr="00F4129E" w:rsidRDefault="00631DFD" w:rsidP="00631DFD">
      <w:pPr>
        <w:pStyle w:val="wiHeading3"/>
      </w:pPr>
      <w:proofErr w:type="gramStart"/>
      <w:r w:rsidRPr="00F4129E">
        <w:t>460.2.4.3  Stone</w:t>
      </w:r>
      <w:proofErr w:type="gramEnd"/>
      <w:r w:rsidRPr="00F4129E">
        <w:t xml:space="preserve"> Matrix Asphalt Stabilizer</w:t>
      </w:r>
    </w:p>
    <w:p w14:paraId="50212FB4" w14:textId="77777777" w:rsidR="00631DFD" w:rsidRPr="00F4129E" w:rsidRDefault="00631DFD" w:rsidP="00631DFD">
      <w:pPr>
        <w:pStyle w:val="wiParagraph"/>
      </w:pPr>
      <w:r w:rsidRPr="00F4129E">
        <w:tab/>
      </w:r>
      <w:r w:rsidRPr="00F4129E">
        <w:rPr>
          <w:rStyle w:val="wiParagraphNumber"/>
        </w:rPr>
        <w:t>(1)</w:t>
      </w:r>
      <w:r w:rsidRPr="00F4129E">
        <w:tab/>
        <w:t xml:space="preserve">Add a cellulose fiber stabilizing additive to </w:t>
      </w:r>
      <w:proofErr w:type="spellStart"/>
      <w:r w:rsidRPr="00F4129E">
        <w:t>SMA</w:t>
      </w:r>
      <w:proofErr w:type="spellEnd"/>
      <w:r w:rsidRPr="00F4129E">
        <w:t xml:space="preserve"> mixtures according to the dosage rate specified in </w:t>
      </w:r>
      <w:r w:rsidRPr="00F0386A">
        <w:rPr>
          <w:rStyle w:val="wiLink"/>
        </w:rPr>
        <w:t>AASHTO M 325</w:t>
      </w:r>
      <w:r w:rsidRPr="00F4129E">
        <w:t xml:space="preserve">. Feed the stabilizing additive through a separate system that uniformly proportions the required amount of stabilizer. Ensure that the system has low-level and no-flow indicators and </w:t>
      </w:r>
      <w:proofErr w:type="gramStart"/>
      <w:r w:rsidRPr="00F4129E">
        <w:t>is capable of providing</w:t>
      </w:r>
      <w:proofErr w:type="gramEnd"/>
      <w:r w:rsidRPr="00F4129E">
        <w:t xml:space="preserve"> a printout of the feed rate in pounds per minute. Also ensure that the stabilizer supply is visible to observe flow and feed consistency. During mixture design submittal and before approval, submit a certificate of compliance stating fibers conform to the following:</w:t>
      </w:r>
    </w:p>
    <w:p w14:paraId="242FDDFD" w14:textId="77777777" w:rsidR="00631DFD" w:rsidRPr="00F4129E" w:rsidRDefault="00631DFD" w:rsidP="00631DFD">
      <w:pPr>
        <w:pStyle w:val="wiTableTitle"/>
      </w:pPr>
      <w:r w:rsidRPr="00F4129E">
        <w:lastRenderedPageBreak/>
        <w:t>CELLULOSE FIBER QUALITY</w:t>
      </w:r>
    </w:p>
    <w:p w14:paraId="5B640554" w14:textId="77777777" w:rsidR="00631DFD" w:rsidRPr="00F4129E" w:rsidRDefault="00631DFD" w:rsidP="00631DFD">
      <w:pPr>
        <w:pStyle w:val="wiTableBuffe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58" w:type="dxa"/>
          <w:right w:w="58" w:type="dxa"/>
        </w:tblCellMar>
        <w:tblLook w:val="04A0" w:firstRow="1" w:lastRow="0" w:firstColumn="1" w:lastColumn="0" w:noHBand="0" w:noVBand="1"/>
      </w:tblPr>
      <w:tblGrid>
        <w:gridCol w:w="3145"/>
        <w:gridCol w:w="3425"/>
      </w:tblGrid>
      <w:tr w:rsidR="00631DFD" w:rsidRPr="00F4129E" w14:paraId="04D47748" w14:textId="77777777" w:rsidTr="00D03502">
        <w:trPr>
          <w:jc w:val="center"/>
        </w:trPr>
        <w:tc>
          <w:tcPr>
            <w:tcW w:w="3145" w:type="dxa"/>
            <w:shd w:val="clear" w:color="auto" w:fill="D9D9D9" w:themeFill="background1" w:themeFillShade="D9"/>
          </w:tcPr>
          <w:p w14:paraId="272D603A" w14:textId="77777777" w:rsidR="00631DFD" w:rsidRPr="00F4129E" w:rsidRDefault="00631DFD" w:rsidP="00D03502">
            <w:pPr>
              <w:pStyle w:val="wiTableUndefined"/>
              <w:spacing w:before="20" w:after="20"/>
            </w:pPr>
            <w:r w:rsidRPr="00F4129E">
              <w:t>PROPERTY</w:t>
            </w:r>
          </w:p>
        </w:tc>
        <w:tc>
          <w:tcPr>
            <w:tcW w:w="3425" w:type="dxa"/>
            <w:shd w:val="clear" w:color="auto" w:fill="D9D9D9" w:themeFill="background1" w:themeFillShade="D9"/>
          </w:tcPr>
          <w:p w14:paraId="12D15C74" w14:textId="77777777" w:rsidR="00631DFD" w:rsidRPr="00F4129E" w:rsidRDefault="00631DFD" w:rsidP="00D03502">
            <w:pPr>
              <w:pStyle w:val="wiTableUndefined"/>
              <w:spacing w:before="20" w:after="20"/>
            </w:pPr>
            <w:r w:rsidRPr="00F4129E">
              <w:t>REQUIREMENT</w:t>
            </w:r>
          </w:p>
        </w:tc>
      </w:tr>
      <w:tr w:rsidR="00631DFD" w:rsidRPr="00F4129E" w14:paraId="5D4CE304" w14:textId="77777777" w:rsidTr="00D03502">
        <w:trPr>
          <w:jc w:val="center"/>
        </w:trPr>
        <w:tc>
          <w:tcPr>
            <w:tcW w:w="6570" w:type="dxa"/>
            <w:gridSpan w:val="2"/>
            <w:shd w:val="clear" w:color="auto" w:fill="D9D9D9" w:themeFill="background1" w:themeFillShade="D9"/>
          </w:tcPr>
          <w:p w14:paraId="65F0ADEA" w14:textId="77777777" w:rsidR="00631DFD" w:rsidRPr="00F4129E" w:rsidRDefault="00631DFD" w:rsidP="00D03502">
            <w:pPr>
              <w:pStyle w:val="wiTableUndefined"/>
              <w:spacing w:before="20" w:after="20"/>
            </w:pPr>
            <w:r w:rsidRPr="00F4129E">
              <w:t>SIEVE ANALYSIS</w:t>
            </w:r>
          </w:p>
        </w:tc>
      </w:tr>
      <w:tr w:rsidR="00631DFD" w:rsidRPr="00F4129E" w14:paraId="520499C5" w14:textId="77777777" w:rsidTr="00D03502">
        <w:trPr>
          <w:jc w:val="center"/>
        </w:trPr>
        <w:tc>
          <w:tcPr>
            <w:tcW w:w="6570" w:type="dxa"/>
            <w:gridSpan w:val="2"/>
            <w:tcBorders>
              <w:bottom w:val="single" w:sz="8" w:space="0" w:color="auto"/>
            </w:tcBorders>
            <w:shd w:val="clear" w:color="auto" w:fill="D9D9D9" w:themeFill="background1" w:themeFillShade="D9"/>
          </w:tcPr>
          <w:p w14:paraId="69ADF7B4" w14:textId="77777777" w:rsidR="00631DFD" w:rsidRPr="00F4129E" w:rsidRDefault="00631DFD" w:rsidP="00D03502">
            <w:pPr>
              <w:pStyle w:val="wiTableUndefined"/>
              <w:spacing w:before="20" w:after="20"/>
            </w:pPr>
            <w:r w:rsidRPr="00F4129E">
              <w:t>METHOD A – ALPINE SIEVE ANALYSIS:</w:t>
            </w:r>
          </w:p>
        </w:tc>
      </w:tr>
      <w:tr w:rsidR="00631DFD" w:rsidRPr="00F4129E" w14:paraId="79EB59FA" w14:textId="77777777" w:rsidTr="00D03502">
        <w:trPr>
          <w:jc w:val="center"/>
        </w:trPr>
        <w:tc>
          <w:tcPr>
            <w:tcW w:w="3145" w:type="dxa"/>
            <w:tcBorders>
              <w:bottom w:val="nil"/>
              <w:right w:val="nil"/>
            </w:tcBorders>
          </w:tcPr>
          <w:p w14:paraId="158BEB31" w14:textId="77777777" w:rsidR="00631DFD" w:rsidRPr="00F4129E" w:rsidRDefault="00631DFD" w:rsidP="00D03502">
            <w:pPr>
              <w:pStyle w:val="wiTableUndefined"/>
              <w:spacing w:before="20" w:after="20"/>
            </w:pPr>
            <w:r w:rsidRPr="00F4129E">
              <w:t>Fiber Length</w:t>
            </w:r>
          </w:p>
        </w:tc>
        <w:tc>
          <w:tcPr>
            <w:tcW w:w="3425" w:type="dxa"/>
            <w:tcBorders>
              <w:left w:val="nil"/>
              <w:bottom w:val="nil"/>
            </w:tcBorders>
          </w:tcPr>
          <w:p w14:paraId="33CA7B5C" w14:textId="77777777" w:rsidR="00631DFD" w:rsidRPr="00F4129E" w:rsidRDefault="00631DFD" w:rsidP="00D03502">
            <w:pPr>
              <w:pStyle w:val="wiTableUndefined"/>
              <w:spacing w:before="20" w:after="20"/>
            </w:pPr>
            <w:r w:rsidRPr="00F4129E">
              <w:t>6 mm (0.25 in) maximum</w:t>
            </w:r>
          </w:p>
        </w:tc>
      </w:tr>
      <w:tr w:rsidR="00631DFD" w:rsidRPr="00F4129E" w14:paraId="54FA53AA" w14:textId="77777777" w:rsidTr="00D03502">
        <w:trPr>
          <w:jc w:val="center"/>
        </w:trPr>
        <w:tc>
          <w:tcPr>
            <w:tcW w:w="3145" w:type="dxa"/>
            <w:tcBorders>
              <w:top w:val="nil"/>
              <w:right w:val="nil"/>
            </w:tcBorders>
          </w:tcPr>
          <w:p w14:paraId="54E7B8B1" w14:textId="77777777" w:rsidR="00631DFD" w:rsidRPr="00F4129E" w:rsidRDefault="00631DFD" w:rsidP="00D03502">
            <w:pPr>
              <w:pStyle w:val="wiTableUndefined"/>
              <w:spacing w:before="20" w:after="20"/>
            </w:pPr>
            <w:r w:rsidRPr="00F4129E">
              <w:t>Passing 0.150-mm (No. 100) sieve</w:t>
            </w:r>
          </w:p>
        </w:tc>
        <w:tc>
          <w:tcPr>
            <w:tcW w:w="3425" w:type="dxa"/>
            <w:tcBorders>
              <w:top w:val="nil"/>
              <w:left w:val="nil"/>
            </w:tcBorders>
          </w:tcPr>
          <w:p w14:paraId="58A5354B" w14:textId="77777777" w:rsidR="00631DFD" w:rsidRPr="00F4129E" w:rsidRDefault="00631DFD" w:rsidP="00D03502">
            <w:pPr>
              <w:pStyle w:val="wiTableUndefined"/>
              <w:spacing w:before="20" w:after="20"/>
            </w:pPr>
            <w:r w:rsidRPr="00F4129E">
              <w:t>70 +/- 10 percent</w:t>
            </w:r>
          </w:p>
        </w:tc>
      </w:tr>
      <w:tr w:rsidR="00631DFD" w:rsidRPr="00F4129E" w14:paraId="1D9B8C9A" w14:textId="77777777" w:rsidTr="00D03502">
        <w:trPr>
          <w:jc w:val="center"/>
        </w:trPr>
        <w:tc>
          <w:tcPr>
            <w:tcW w:w="6570" w:type="dxa"/>
            <w:gridSpan w:val="2"/>
            <w:tcBorders>
              <w:bottom w:val="single" w:sz="8" w:space="0" w:color="auto"/>
            </w:tcBorders>
            <w:shd w:val="clear" w:color="auto" w:fill="D9D9D9" w:themeFill="background1" w:themeFillShade="D9"/>
          </w:tcPr>
          <w:p w14:paraId="22687D4C" w14:textId="77777777" w:rsidR="00631DFD" w:rsidRPr="00F4129E" w:rsidRDefault="00631DFD" w:rsidP="00D03502">
            <w:pPr>
              <w:pStyle w:val="wiTableUndefined"/>
              <w:spacing w:before="20" w:after="20"/>
            </w:pPr>
            <w:r w:rsidRPr="00F4129E">
              <w:t>METHOD B – MESH SCREEN ANALYSIS:</w:t>
            </w:r>
          </w:p>
        </w:tc>
      </w:tr>
      <w:tr w:rsidR="00631DFD" w:rsidRPr="00F4129E" w14:paraId="27323DE5" w14:textId="77777777" w:rsidTr="00D03502">
        <w:trPr>
          <w:jc w:val="center"/>
        </w:trPr>
        <w:tc>
          <w:tcPr>
            <w:tcW w:w="3145" w:type="dxa"/>
            <w:tcBorders>
              <w:bottom w:val="nil"/>
              <w:right w:val="nil"/>
            </w:tcBorders>
          </w:tcPr>
          <w:p w14:paraId="736DA810" w14:textId="77777777" w:rsidR="00631DFD" w:rsidRPr="00F4129E" w:rsidRDefault="00631DFD" w:rsidP="00D03502">
            <w:pPr>
              <w:pStyle w:val="wiTableUndefined"/>
              <w:spacing w:before="20" w:after="20"/>
            </w:pPr>
            <w:r w:rsidRPr="00F4129E">
              <w:t>Fiber Length</w:t>
            </w:r>
          </w:p>
        </w:tc>
        <w:tc>
          <w:tcPr>
            <w:tcW w:w="3425" w:type="dxa"/>
            <w:tcBorders>
              <w:left w:val="nil"/>
              <w:bottom w:val="nil"/>
            </w:tcBorders>
          </w:tcPr>
          <w:p w14:paraId="50D56FE3" w14:textId="77777777" w:rsidR="00631DFD" w:rsidRPr="00F4129E" w:rsidRDefault="00631DFD" w:rsidP="00D03502">
            <w:pPr>
              <w:pStyle w:val="wiTableUndefined"/>
              <w:spacing w:before="20" w:after="20"/>
            </w:pPr>
            <w:r w:rsidRPr="00F4129E">
              <w:t>6 mm (0.25 in) maximum</w:t>
            </w:r>
          </w:p>
        </w:tc>
      </w:tr>
      <w:tr w:rsidR="00631DFD" w:rsidRPr="00F4129E" w14:paraId="460BC430" w14:textId="77777777" w:rsidTr="00D03502">
        <w:trPr>
          <w:jc w:val="center"/>
        </w:trPr>
        <w:tc>
          <w:tcPr>
            <w:tcW w:w="3145" w:type="dxa"/>
            <w:tcBorders>
              <w:top w:val="nil"/>
              <w:bottom w:val="nil"/>
              <w:right w:val="nil"/>
            </w:tcBorders>
          </w:tcPr>
          <w:p w14:paraId="4D7D3948" w14:textId="77777777" w:rsidR="00631DFD" w:rsidRPr="00F4129E" w:rsidRDefault="00631DFD" w:rsidP="00D03502">
            <w:pPr>
              <w:pStyle w:val="wiTableUndefined"/>
              <w:spacing w:before="20" w:after="20"/>
            </w:pPr>
            <w:r w:rsidRPr="00F4129E">
              <w:t>Passing 0.850-mm (No. 20) sieve</w:t>
            </w:r>
          </w:p>
        </w:tc>
        <w:tc>
          <w:tcPr>
            <w:tcW w:w="3425" w:type="dxa"/>
            <w:tcBorders>
              <w:top w:val="nil"/>
              <w:left w:val="nil"/>
              <w:bottom w:val="nil"/>
            </w:tcBorders>
          </w:tcPr>
          <w:p w14:paraId="580B56BF" w14:textId="77777777" w:rsidR="00631DFD" w:rsidRPr="00F4129E" w:rsidRDefault="00631DFD" w:rsidP="00D03502">
            <w:pPr>
              <w:pStyle w:val="wiTableUndefined"/>
              <w:spacing w:before="20" w:after="20"/>
            </w:pPr>
            <w:r w:rsidRPr="00F4129E">
              <w:t>85 +/- 10 percent</w:t>
            </w:r>
          </w:p>
        </w:tc>
      </w:tr>
      <w:tr w:rsidR="00631DFD" w:rsidRPr="00F4129E" w14:paraId="52ED52D0" w14:textId="77777777" w:rsidTr="00D03502">
        <w:trPr>
          <w:jc w:val="center"/>
        </w:trPr>
        <w:tc>
          <w:tcPr>
            <w:tcW w:w="3145" w:type="dxa"/>
            <w:tcBorders>
              <w:top w:val="nil"/>
              <w:bottom w:val="nil"/>
              <w:right w:val="nil"/>
            </w:tcBorders>
          </w:tcPr>
          <w:p w14:paraId="4C72475E" w14:textId="77777777" w:rsidR="00631DFD" w:rsidRPr="00F4129E" w:rsidRDefault="00631DFD" w:rsidP="00D03502">
            <w:pPr>
              <w:pStyle w:val="wiTableUndefined"/>
              <w:spacing w:before="20" w:after="20"/>
            </w:pPr>
            <w:r w:rsidRPr="00F4129E">
              <w:t>Passing 0.425-mm (No. 40) sieve</w:t>
            </w:r>
          </w:p>
        </w:tc>
        <w:tc>
          <w:tcPr>
            <w:tcW w:w="3425" w:type="dxa"/>
            <w:tcBorders>
              <w:top w:val="nil"/>
              <w:left w:val="nil"/>
              <w:bottom w:val="nil"/>
            </w:tcBorders>
          </w:tcPr>
          <w:p w14:paraId="5728CA7F" w14:textId="77777777" w:rsidR="00631DFD" w:rsidRPr="00F4129E" w:rsidRDefault="00631DFD" w:rsidP="00D03502">
            <w:pPr>
              <w:pStyle w:val="wiTableUndefined"/>
              <w:spacing w:before="20" w:after="20"/>
            </w:pPr>
            <w:r w:rsidRPr="00F4129E">
              <w:t>65 +/- 10 percent</w:t>
            </w:r>
          </w:p>
        </w:tc>
      </w:tr>
      <w:tr w:rsidR="00631DFD" w:rsidRPr="00F4129E" w14:paraId="1DFEE7B5" w14:textId="77777777" w:rsidTr="00D03502">
        <w:trPr>
          <w:jc w:val="center"/>
        </w:trPr>
        <w:tc>
          <w:tcPr>
            <w:tcW w:w="3145" w:type="dxa"/>
            <w:tcBorders>
              <w:top w:val="nil"/>
              <w:right w:val="nil"/>
            </w:tcBorders>
          </w:tcPr>
          <w:p w14:paraId="758EC5E2" w14:textId="77777777" w:rsidR="00631DFD" w:rsidRPr="00F4129E" w:rsidRDefault="00631DFD" w:rsidP="00D03502">
            <w:pPr>
              <w:pStyle w:val="wiTableUndefined"/>
              <w:spacing w:before="20" w:after="20"/>
            </w:pPr>
            <w:r w:rsidRPr="00F4129E">
              <w:t>Passing 0.106-mm (No. 140) sieve</w:t>
            </w:r>
          </w:p>
        </w:tc>
        <w:tc>
          <w:tcPr>
            <w:tcW w:w="3425" w:type="dxa"/>
            <w:tcBorders>
              <w:top w:val="nil"/>
              <w:left w:val="nil"/>
            </w:tcBorders>
          </w:tcPr>
          <w:p w14:paraId="014A6485" w14:textId="77777777" w:rsidR="00631DFD" w:rsidRPr="00F4129E" w:rsidRDefault="00631DFD" w:rsidP="00D03502">
            <w:pPr>
              <w:pStyle w:val="wiTableUndefined"/>
              <w:spacing w:before="20" w:after="20"/>
            </w:pPr>
            <w:r w:rsidRPr="00F4129E">
              <w:t>30 +/- 10 percent</w:t>
            </w:r>
          </w:p>
        </w:tc>
      </w:tr>
      <w:tr w:rsidR="00631DFD" w:rsidRPr="00F4129E" w14:paraId="7C39B050" w14:textId="77777777" w:rsidTr="00D03502">
        <w:trPr>
          <w:jc w:val="center"/>
        </w:trPr>
        <w:tc>
          <w:tcPr>
            <w:tcW w:w="6570" w:type="dxa"/>
            <w:gridSpan w:val="2"/>
            <w:tcBorders>
              <w:bottom w:val="single" w:sz="8" w:space="0" w:color="auto"/>
            </w:tcBorders>
            <w:shd w:val="clear" w:color="auto" w:fill="D9D9D9" w:themeFill="background1" w:themeFillShade="D9"/>
          </w:tcPr>
          <w:p w14:paraId="570BD6BB" w14:textId="77777777" w:rsidR="00631DFD" w:rsidRPr="00F4129E" w:rsidRDefault="00631DFD" w:rsidP="00D03502">
            <w:pPr>
              <w:pStyle w:val="wiTableUndefined"/>
              <w:spacing w:before="20" w:after="20"/>
            </w:pPr>
            <w:r w:rsidRPr="00F4129E">
              <w:t>OTHER PROPERTIES</w:t>
            </w:r>
          </w:p>
        </w:tc>
      </w:tr>
      <w:tr w:rsidR="00631DFD" w:rsidRPr="00F4129E" w14:paraId="402CBF99" w14:textId="77777777" w:rsidTr="00D03502">
        <w:trPr>
          <w:jc w:val="center"/>
        </w:trPr>
        <w:tc>
          <w:tcPr>
            <w:tcW w:w="3145" w:type="dxa"/>
            <w:tcBorders>
              <w:bottom w:val="nil"/>
              <w:right w:val="nil"/>
            </w:tcBorders>
          </w:tcPr>
          <w:p w14:paraId="4C2DF6A1" w14:textId="77777777" w:rsidR="00631DFD" w:rsidRPr="00F4129E" w:rsidRDefault="00631DFD" w:rsidP="00D03502">
            <w:pPr>
              <w:pStyle w:val="wiTableUndefined"/>
              <w:spacing w:before="20" w:after="20"/>
            </w:pPr>
            <w:r w:rsidRPr="00F4129E">
              <w:t>Ash Content</w:t>
            </w:r>
          </w:p>
        </w:tc>
        <w:tc>
          <w:tcPr>
            <w:tcW w:w="3425" w:type="dxa"/>
            <w:tcBorders>
              <w:left w:val="nil"/>
              <w:bottom w:val="nil"/>
            </w:tcBorders>
          </w:tcPr>
          <w:p w14:paraId="1A5B6B36" w14:textId="77777777" w:rsidR="00631DFD" w:rsidRPr="00F4129E" w:rsidRDefault="00631DFD" w:rsidP="00D03502">
            <w:pPr>
              <w:pStyle w:val="wiTableUndefined"/>
              <w:spacing w:before="20" w:after="20"/>
            </w:pPr>
            <w:r w:rsidRPr="00F4129E">
              <w:t>18 +/- 5 percent non-volatiles</w:t>
            </w:r>
          </w:p>
        </w:tc>
      </w:tr>
      <w:tr w:rsidR="00631DFD" w:rsidRPr="00F4129E" w14:paraId="00453844" w14:textId="77777777" w:rsidTr="00D03502">
        <w:trPr>
          <w:jc w:val="center"/>
        </w:trPr>
        <w:tc>
          <w:tcPr>
            <w:tcW w:w="3145" w:type="dxa"/>
            <w:tcBorders>
              <w:top w:val="nil"/>
              <w:bottom w:val="nil"/>
              <w:right w:val="nil"/>
            </w:tcBorders>
          </w:tcPr>
          <w:p w14:paraId="0FBF2747" w14:textId="77777777" w:rsidR="00631DFD" w:rsidRPr="00F4129E" w:rsidRDefault="00631DFD" w:rsidP="00D03502">
            <w:pPr>
              <w:pStyle w:val="wiTableUndefined"/>
              <w:spacing w:before="20" w:after="20"/>
            </w:pPr>
            <w:r w:rsidRPr="00F4129E">
              <w:t>pH</w:t>
            </w:r>
          </w:p>
        </w:tc>
        <w:tc>
          <w:tcPr>
            <w:tcW w:w="3425" w:type="dxa"/>
            <w:tcBorders>
              <w:top w:val="nil"/>
              <w:left w:val="nil"/>
              <w:bottom w:val="nil"/>
            </w:tcBorders>
          </w:tcPr>
          <w:p w14:paraId="33528857" w14:textId="77777777" w:rsidR="00631DFD" w:rsidRPr="00F4129E" w:rsidRDefault="00631DFD" w:rsidP="00D03502">
            <w:pPr>
              <w:pStyle w:val="wiTableUndefined"/>
              <w:spacing w:before="20" w:after="20"/>
            </w:pPr>
            <w:r w:rsidRPr="00F4129E">
              <w:t>7.5 +/- 1.0</w:t>
            </w:r>
          </w:p>
        </w:tc>
      </w:tr>
      <w:tr w:rsidR="00631DFD" w:rsidRPr="00F4129E" w14:paraId="351E9F61" w14:textId="77777777" w:rsidTr="00D03502">
        <w:trPr>
          <w:jc w:val="center"/>
        </w:trPr>
        <w:tc>
          <w:tcPr>
            <w:tcW w:w="3145" w:type="dxa"/>
            <w:tcBorders>
              <w:top w:val="nil"/>
              <w:bottom w:val="nil"/>
              <w:right w:val="nil"/>
            </w:tcBorders>
          </w:tcPr>
          <w:p w14:paraId="7A8C4731" w14:textId="77777777" w:rsidR="00631DFD" w:rsidRPr="00F4129E" w:rsidRDefault="00631DFD" w:rsidP="00D03502">
            <w:pPr>
              <w:pStyle w:val="wiTableUndefined"/>
              <w:spacing w:before="20" w:after="20"/>
            </w:pPr>
            <w:r w:rsidRPr="00F4129E">
              <w:t>Oil Absorption</w:t>
            </w:r>
          </w:p>
        </w:tc>
        <w:tc>
          <w:tcPr>
            <w:tcW w:w="3425" w:type="dxa"/>
            <w:tcBorders>
              <w:top w:val="nil"/>
              <w:left w:val="nil"/>
              <w:bottom w:val="nil"/>
            </w:tcBorders>
          </w:tcPr>
          <w:p w14:paraId="72940F5F" w14:textId="77777777" w:rsidR="00631DFD" w:rsidRPr="00F4129E" w:rsidRDefault="00631DFD" w:rsidP="00D03502">
            <w:pPr>
              <w:pStyle w:val="wiTableUndefined"/>
              <w:spacing w:before="20" w:after="20"/>
            </w:pPr>
            <w:r w:rsidRPr="00F4129E">
              <w:t>5.0 +/- 1.0 (times fiber mass)</w:t>
            </w:r>
          </w:p>
        </w:tc>
      </w:tr>
      <w:tr w:rsidR="00631DFD" w:rsidRPr="00F4129E" w14:paraId="602CBFDC" w14:textId="77777777" w:rsidTr="00D03502">
        <w:trPr>
          <w:jc w:val="center"/>
        </w:trPr>
        <w:tc>
          <w:tcPr>
            <w:tcW w:w="3145" w:type="dxa"/>
            <w:tcBorders>
              <w:top w:val="nil"/>
              <w:right w:val="nil"/>
            </w:tcBorders>
          </w:tcPr>
          <w:p w14:paraId="72D52D6B" w14:textId="77777777" w:rsidR="00631DFD" w:rsidRPr="00F4129E" w:rsidRDefault="00631DFD" w:rsidP="00D03502">
            <w:pPr>
              <w:pStyle w:val="wiTableUndefined"/>
              <w:spacing w:before="20" w:after="20"/>
            </w:pPr>
            <w:r w:rsidRPr="00F4129E">
              <w:t>Moisture Content</w:t>
            </w:r>
          </w:p>
        </w:tc>
        <w:tc>
          <w:tcPr>
            <w:tcW w:w="3425" w:type="dxa"/>
            <w:tcBorders>
              <w:top w:val="nil"/>
              <w:left w:val="nil"/>
            </w:tcBorders>
          </w:tcPr>
          <w:p w14:paraId="773C5243" w14:textId="77777777" w:rsidR="00631DFD" w:rsidRPr="00F4129E" w:rsidRDefault="00631DFD" w:rsidP="00D03502">
            <w:pPr>
              <w:pStyle w:val="wiTableUndefined"/>
              <w:spacing w:before="20" w:after="20"/>
            </w:pPr>
            <w:r w:rsidRPr="00F4129E">
              <w:t>Less than 5 percent (by mass)</w:t>
            </w:r>
          </w:p>
        </w:tc>
      </w:tr>
    </w:tbl>
    <w:p w14:paraId="383C8A40" w14:textId="055F0300" w:rsidR="0003594D" w:rsidRPr="0003594D" w:rsidRDefault="0003594D" w:rsidP="0003594D">
      <w:pPr>
        <w:pStyle w:val="wiTOCSpace"/>
      </w:pPr>
      <w:r w:rsidRPr="0003594D">
        <w:t>PACE</w:t>
      </w:r>
    </w:p>
    <w:p w14:paraId="1EA73C46" w14:textId="77777777" w:rsidR="007062A8" w:rsidRPr="007062A8" w:rsidRDefault="007062A8" w:rsidP="007062A8">
      <w:pPr>
        <w:pStyle w:val="wiTableBuffer"/>
      </w:pPr>
    </w:p>
    <w:p w14:paraId="58BFC30F" w14:textId="713F2625" w:rsidR="00631DFD" w:rsidRPr="00F4129E" w:rsidRDefault="00631DFD" w:rsidP="00631DFD">
      <w:pPr>
        <w:pStyle w:val="wiParagraph"/>
      </w:pPr>
      <w:r w:rsidRPr="00F4129E">
        <w:tab/>
      </w:r>
      <w:r w:rsidRPr="00F4129E">
        <w:rPr>
          <w:rStyle w:val="wiParagraphNumber"/>
        </w:rPr>
        <w:t>(2)</w:t>
      </w:r>
      <w:r w:rsidRPr="00F4129E">
        <w:tab/>
        <w:t xml:space="preserve">If necessary to avoid drain down, add additional organic fiber, inorganic fiber, polymer-plastic, polymer-elastomer, or department-approved alternate stabilizer to the </w:t>
      </w:r>
      <w:proofErr w:type="spellStart"/>
      <w:r w:rsidRPr="00F4129E">
        <w:t>SMA</w:t>
      </w:r>
      <w:proofErr w:type="spellEnd"/>
      <w:r w:rsidRPr="00F4129E">
        <w:t xml:space="preserve"> mixture design for the remainder of the contract.</w:t>
      </w:r>
    </w:p>
    <w:p w14:paraId="4FAAEC3E" w14:textId="77777777" w:rsidR="00631DFD" w:rsidRPr="00F4129E" w:rsidRDefault="00631DFD" w:rsidP="00631DFD">
      <w:pPr>
        <w:pStyle w:val="wiHeading3"/>
      </w:pPr>
      <w:proofErr w:type="gramStart"/>
      <w:r w:rsidRPr="00F4129E">
        <w:t>460.2.4.4  Warm</w:t>
      </w:r>
      <w:proofErr w:type="gramEnd"/>
      <w:r w:rsidRPr="00F4129E">
        <w:t xml:space="preserve"> Mix Asphalt Additive or Process</w:t>
      </w:r>
    </w:p>
    <w:p w14:paraId="6B35DF89" w14:textId="77777777" w:rsidR="00631DFD" w:rsidRPr="00F4129E" w:rsidRDefault="00631DFD" w:rsidP="00631DFD">
      <w:pPr>
        <w:pStyle w:val="wiParagraph"/>
      </w:pPr>
      <w:r w:rsidRPr="00F4129E">
        <w:tab/>
      </w:r>
      <w:r w:rsidRPr="00F4129E">
        <w:rPr>
          <w:rStyle w:val="wiParagraphNumber"/>
        </w:rPr>
        <w:t>(1)</w:t>
      </w:r>
      <w:r w:rsidRPr="00F4129E">
        <w:tab/>
        <w:t xml:space="preserve">Use additives or processes from the </w:t>
      </w:r>
      <w:r w:rsidRPr="00F4129E">
        <w:rPr>
          <w:rStyle w:val="wiLink"/>
        </w:rPr>
        <w:t>APL</w:t>
      </w:r>
      <w:r w:rsidRPr="00F4129E">
        <w:t>. Follow supplier or manufacturer recommendations for additives and processes when producing WMA mixtures.</w:t>
      </w:r>
    </w:p>
    <w:p w14:paraId="0CCD82E2" w14:textId="77777777" w:rsidR="00631DFD" w:rsidRPr="00F4129E" w:rsidRDefault="00631DFD" w:rsidP="00631DFD">
      <w:pPr>
        <w:pStyle w:val="wiHeading2"/>
      </w:pPr>
      <w:proofErr w:type="gramStart"/>
      <w:r w:rsidRPr="00F4129E">
        <w:t>460.2.5  Recycled</w:t>
      </w:r>
      <w:proofErr w:type="gramEnd"/>
      <w:r w:rsidRPr="00F4129E">
        <w:t xml:space="preserve"> Asphaltic Materials</w:t>
      </w:r>
    </w:p>
    <w:p w14:paraId="4322D22C" w14:textId="77777777" w:rsidR="00631DFD" w:rsidRPr="00F4129E" w:rsidRDefault="00631DFD" w:rsidP="00631DFD">
      <w:pPr>
        <w:pStyle w:val="wiParagraph"/>
      </w:pPr>
      <w:r w:rsidRPr="00F4129E">
        <w:tab/>
      </w:r>
      <w:r w:rsidRPr="00F4129E">
        <w:rPr>
          <w:rStyle w:val="wiParagraphNumber"/>
        </w:rPr>
        <w:t>(1)</w:t>
      </w:r>
      <w:r w:rsidRPr="00F4129E">
        <w:tab/>
        <w:t xml:space="preserve">The contractor may use recycled asphaltic materials from FRAP, RAP, and RAS in </w:t>
      </w:r>
      <w:proofErr w:type="spellStart"/>
      <w:r w:rsidRPr="00F4129E">
        <w:t>HMA</w:t>
      </w:r>
      <w:proofErr w:type="spellEnd"/>
      <w:r w:rsidRPr="00F4129E">
        <w:t xml:space="preserve"> mixtures. Stockpile recycled materials separately from virgin materials and list each as individual </w:t>
      </w:r>
      <w:proofErr w:type="spellStart"/>
      <w:r w:rsidRPr="00F4129E">
        <w:t>JMF</w:t>
      </w:r>
      <w:proofErr w:type="spellEnd"/>
      <w:r w:rsidRPr="00F4129E">
        <w:t xml:space="preserve"> components.</w:t>
      </w:r>
    </w:p>
    <w:p w14:paraId="29E5B30F" w14:textId="77777777" w:rsidR="00631DFD" w:rsidRPr="00F4129E" w:rsidRDefault="00631DFD" w:rsidP="00631DFD">
      <w:pPr>
        <w:pStyle w:val="wiParagraph"/>
      </w:pPr>
      <w:r w:rsidRPr="00F4129E">
        <w:tab/>
      </w:r>
      <w:r w:rsidRPr="00F4129E">
        <w:rPr>
          <w:rStyle w:val="wiParagraphNumber"/>
        </w:rPr>
        <w:t>(2)</w:t>
      </w:r>
      <w:r w:rsidRPr="00F4129E">
        <w:tab/>
        <w:t xml:space="preserve">Control recycled materials used in </w:t>
      </w:r>
      <w:proofErr w:type="spellStart"/>
      <w:r w:rsidRPr="00F4129E">
        <w:t>HMA</w:t>
      </w:r>
      <w:proofErr w:type="spellEnd"/>
      <w:r w:rsidRPr="00F4129E">
        <w:t xml:space="preserve"> by evaluating the percent binder replacement, the ratio of recovered binder to the total binder. Conform to the following:</w:t>
      </w:r>
    </w:p>
    <w:p w14:paraId="6C130E74" w14:textId="77777777" w:rsidR="00631DFD" w:rsidRPr="00F4129E" w:rsidRDefault="00631DFD" w:rsidP="00631DFD">
      <w:pPr>
        <w:pStyle w:val="wiTableTitle"/>
      </w:pPr>
      <w:r w:rsidRPr="00F4129E">
        <w:t>MAXIMUM ALLOWABLE PERCENT BINDER REPLACEMENT</w:t>
      </w:r>
    </w:p>
    <w:p w14:paraId="321E6756" w14:textId="77777777" w:rsidR="00631DFD" w:rsidRPr="00F4129E" w:rsidRDefault="00631DFD" w:rsidP="00631DFD">
      <w:pPr>
        <w:pStyle w:val="wiTable3Col"/>
        <w:keepNext/>
      </w:pPr>
      <w:r w:rsidRPr="00F4129E">
        <w:tab/>
      </w:r>
      <w:r w:rsidRPr="00052A5F">
        <w:rPr>
          <w:u w:val="single"/>
        </w:rPr>
        <w:t>RECYCLED ASPHALTIC MATERIAL</w:t>
      </w:r>
      <w:r w:rsidRPr="00F4129E">
        <w:tab/>
      </w:r>
      <w:r w:rsidRPr="00052A5F">
        <w:rPr>
          <w:u w:val="single"/>
        </w:rPr>
        <w:t>LOWER LAYERS</w:t>
      </w:r>
      <w:r w:rsidRPr="00F4129E">
        <w:tab/>
      </w:r>
      <w:r w:rsidRPr="00052A5F">
        <w:rPr>
          <w:u w:val="single"/>
        </w:rPr>
        <w:t>UPPER LAYER</w:t>
      </w:r>
    </w:p>
    <w:p w14:paraId="536F16FF" w14:textId="77777777" w:rsidR="00631DFD" w:rsidRPr="00F4129E" w:rsidRDefault="00631DFD" w:rsidP="00631DFD">
      <w:pPr>
        <w:pStyle w:val="wiTable3Col"/>
        <w:keepNext/>
      </w:pPr>
      <w:r w:rsidRPr="00F4129E">
        <w:tab/>
        <w:t>RAS if used alone</w:t>
      </w:r>
      <w:r w:rsidRPr="00F4129E">
        <w:tab/>
        <w:t>25</w:t>
      </w:r>
      <w:r w:rsidRPr="00F4129E">
        <w:tab/>
        <w:t>20</w:t>
      </w:r>
    </w:p>
    <w:p w14:paraId="67D21CC9" w14:textId="77777777" w:rsidR="00631DFD" w:rsidRPr="00F4129E" w:rsidRDefault="00631DFD" w:rsidP="00631DFD">
      <w:pPr>
        <w:pStyle w:val="wiTable3Col"/>
        <w:keepNext/>
      </w:pPr>
      <w:r w:rsidRPr="00F4129E">
        <w:tab/>
        <w:t>RAP and FRAP in any combination</w:t>
      </w:r>
      <w:r w:rsidRPr="00F4129E">
        <w:tab/>
        <w:t>40</w:t>
      </w:r>
      <w:r w:rsidRPr="00F4129E">
        <w:tab/>
        <w:t>25</w:t>
      </w:r>
    </w:p>
    <w:p w14:paraId="02A7374C" w14:textId="77777777" w:rsidR="00631DFD" w:rsidRPr="00F4129E" w:rsidRDefault="00631DFD" w:rsidP="00631DFD">
      <w:pPr>
        <w:pStyle w:val="wiTable3Col"/>
        <w:keepNext/>
      </w:pPr>
      <w:r w:rsidRPr="00F4129E">
        <w:tab/>
        <w:t xml:space="preserve">RAS, RAP, and FRAP in </w:t>
      </w:r>
      <w:proofErr w:type="gramStart"/>
      <w:r w:rsidRPr="00F4129E">
        <w:t>combination</w:t>
      </w:r>
      <w:r w:rsidRPr="00F4129E">
        <w:rPr>
          <w:i/>
          <w:vertAlign w:val="superscript"/>
        </w:rPr>
        <w:t>[</w:t>
      </w:r>
      <w:proofErr w:type="gramEnd"/>
      <w:r w:rsidRPr="00F4129E">
        <w:rPr>
          <w:i/>
          <w:vertAlign w:val="superscript"/>
        </w:rPr>
        <w:t>1]</w:t>
      </w:r>
      <w:r w:rsidRPr="00F4129E">
        <w:t xml:space="preserve"> </w:t>
      </w:r>
      <w:r w:rsidRPr="00F4129E">
        <w:rPr>
          <w:i/>
          <w:vertAlign w:val="superscript"/>
        </w:rPr>
        <w:t>[2]</w:t>
      </w:r>
      <w:r w:rsidRPr="00F4129E">
        <w:tab/>
        <w:t>35</w:t>
      </w:r>
      <w:r w:rsidRPr="00F4129E">
        <w:tab/>
        <w:t>25</w:t>
      </w:r>
    </w:p>
    <w:p w14:paraId="616968BD" w14:textId="77777777" w:rsidR="00047260" w:rsidRDefault="00047260" w:rsidP="00047260">
      <w:pPr>
        <w:pStyle w:val="wiTableBuffer"/>
      </w:pPr>
    </w:p>
    <w:p w14:paraId="6400FDC7" w14:textId="18E69832" w:rsidR="00631DFD" w:rsidRPr="00F4129E" w:rsidRDefault="00631DFD" w:rsidP="00631DFD">
      <w:pPr>
        <w:pStyle w:val="wiFootnote"/>
      </w:pPr>
      <w:r w:rsidRPr="00F4129E">
        <w:tab/>
      </w:r>
      <w:r w:rsidRPr="00F4129E">
        <w:rPr>
          <w:i/>
          <w:vertAlign w:val="superscript"/>
        </w:rPr>
        <w:t>[1]</w:t>
      </w:r>
      <w:r w:rsidRPr="00F4129E">
        <w:tab/>
        <w:t>When used in combination the RAS component cannot exceed 5 percent of the total weight of the aggregate blend.</w:t>
      </w:r>
    </w:p>
    <w:p w14:paraId="1514AAB7" w14:textId="77777777" w:rsidR="00631DFD" w:rsidRPr="00F4129E" w:rsidRDefault="00631DFD" w:rsidP="00631DFD">
      <w:pPr>
        <w:pStyle w:val="wiFootnote"/>
      </w:pPr>
      <w:r w:rsidRPr="00F4129E">
        <w:tab/>
      </w:r>
      <w:r w:rsidRPr="00F4129E">
        <w:rPr>
          <w:i/>
          <w:vertAlign w:val="superscript"/>
        </w:rPr>
        <w:t>[2]</w:t>
      </w:r>
      <w:r w:rsidRPr="00F4129E">
        <w:tab/>
        <w:t xml:space="preserve">The maximum allowable percent binder replacement, from RAS, RAP, and FRAP in combination, in an </w:t>
      </w:r>
      <w:proofErr w:type="spellStart"/>
      <w:r w:rsidRPr="00F4129E">
        <w:t>SMA</w:t>
      </w:r>
      <w:proofErr w:type="spellEnd"/>
      <w:r w:rsidRPr="00F4129E">
        <w:t xml:space="preserve"> mixture is 15.0 percent.</w:t>
      </w:r>
    </w:p>
    <w:p w14:paraId="54E5FCC8" w14:textId="279EE9CA" w:rsidR="00631DFD" w:rsidRPr="00F4129E" w:rsidRDefault="00631DFD" w:rsidP="007062A8">
      <w:pPr>
        <w:pStyle w:val="wiTableBuffer"/>
      </w:pPr>
      <w:bookmarkStart w:id="5" w:name="_Hlk77778017"/>
    </w:p>
    <w:p w14:paraId="4B67EC18" w14:textId="5A8C3808" w:rsidR="00631DFD" w:rsidRDefault="00631DFD" w:rsidP="00631DFD">
      <w:pPr>
        <w:pStyle w:val="wiHeading2"/>
      </w:pPr>
      <w:bookmarkStart w:id="6" w:name="_Hlk77778216"/>
      <w:proofErr w:type="gramStart"/>
      <w:r w:rsidRPr="00F4129E">
        <w:t>460.2.6  Recovered</w:t>
      </w:r>
      <w:proofErr w:type="gramEnd"/>
      <w:r w:rsidRPr="00F4129E">
        <w:t xml:space="preserve"> Asphaltic Binders</w:t>
      </w:r>
    </w:p>
    <w:p w14:paraId="6CD935F9" w14:textId="0B0D105C" w:rsidR="00631DFD" w:rsidRPr="00F4129E" w:rsidRDefault="00631DFD" w:rsidP="00631DFD">
      <w:pPr>
        <w:pStyle w:val="wiParagraph"/>
      </w:pPr>
      <w:r w:rsidRPr="00F4129E">
        <w:tab/>
      </w:r>
      <w:r w:rsidRPr="00F4129E">
        <w:rPr>
          <w:rStyle w:val="wiParagraphNumber"/>
        </w:rPr>
        <w:t>(1)</w:t>
      </w:r>
      <w:r w:rsidRPr="00F4129E">
        <w:tab/>
        <w:t>Establish the percent of recovered asphaltic binder from FRAP, RAP, and RAS for the mixture design using automated extraction according to</w:t>
      </w:r>
      <w:r w:rsidRPr="001E2660">
        <w:t xml:space="preserve"> </w:t>
      </w:r>
      <w:r w:rsidR="001E2660" w:rsidRPr="00F0386A">
        <w:rPr>
          <w:rStyle w:val="wiLink"/>
        </w:rPr>
        <w:t>WTM</w:t>
      </w:r>
      <w:r w:rsidRPr="00F0386A">
        <w:rPr>
          <w:rStyle w:val="wiLink"/>
        </w:rPr>
        <w:t xml:space="preserve"> D8159</w:t>
      </w:r>
      <w:r w:rsidRPr="000E515B">
        <w:t xml:space="preserve"> or according to </w:t>
      </w:r>
      <w:r w:rsidRPr="00F0386A">
        <w:rPr>
          <w:rStyle w:val="wiLink"/>
        </w:rPr>
        <w:t>AASHTO T164</w:t>
      </w:r>
      <w:r w:rsidRPr="000E515B">
        <w:t xml:space="preserve"> method A or B using the appropriate dust correction procedure. If production test results indicate a change in the percent of recovered asphaltic binder, the contractor or the engineer may request a change in the design recovered asphaltic binder. Provide the department with documentation of at least 2 extraction samples collected and tested within 2 months of the request unless the department approves otherwise. Submit using form “Recycled Asphaltic Binder Change Request</w:t>
      </w:r>
      <w:r w:rsidR="000D5573" w:rsidRPr="000E515B">
        <w:t xml:space="preserve"> (DT1351)</w:t>
      </w:r>
      <w:r w:rsidRPr="000E515B">
        <w:t xml:space="preserve">” to a department </w:t>
      </w:r>
      <w:proofErr w:type="spellStart"/>
      <w:r w:rsidRPr="000E515B">
        <w:t>HTCP</w:t>
      </w:r>
      <w:proofErr w:type="spellEnd"/>
      <w:r w:rsidRPr="000E515B">
        <w:t xml:space="preserve">-certified </w:t>
      </w:r>
      <w:proofErr w:type="spellStart"/>
      <w:r w:rsidRPr="000E515B">
        <w:t>HMA</w:t>
      </w:r>
      <w:proofErr w:type="spellEnd"/>
      <w:r w:rsidRPr="000E515B">
        <w:t xml:space="preserve"> Technician for production process change review as outlined in </w:t>
      </w:r>
      <w:proofErr w:type="spellStart"/>
      <w:r w:rsidRPr="000E515B">
        <w:rPr>
          <w:rStyle w:val="wiLink"/>
        </w:rPr>
        <w:t>CMM</w:t>
      </w:r>
      <w:proofErr w:type="spellEnd"/>
      <w:r w:rsidRPr="000E515B">
        <w:rPr>
          <w:rStyle w:val="wiLink"/>
        </w:rPr>
        <w:t xml:space="preserve"> 836.2</w:t>
      </w:r>
      <w:r w:rsidRPr="000E515B">
        <w:t xml:space="preserve">. </w:t>
      </w:r>
      <w:r w:rsidR="000D5573" w:rsidRPr="000E515B">
        <w:t>The DT1351 Recycled Asphaltic Binder Change Request</w:t>
      </w:r>
      <w:r w:rsidR="00884851" w:rsidRPr="000E515B">
        <w:t xml:space="preserve"> form</w:t>
      </w:r>
      <w:r w:rsidR="000D5573" w:rsidRPr="000E515B">
        <w:t xml:space="preserve"> </w:t>
      </w:r>
      <w:r w:rsidR="00436B3B" w:rsidRPr="000E515B">
        <w:t xml:space="preserve">is </w:t>
      </w:r>
      <w:r w:rsidR="000D5573" w:rsidRPr="000E515B">
        <w:t>on WisDOT’s Forms web page (</w:t>
      </w:r>
      <w:r w:rsidR="000D5573" w:rsidRPr="000E515B">
        <w:rPr>
          <w:rStyle w:val="wiLink"/>
        </w:rPr>
        <w:t>https://wisconsindot.gov/Pages/global-footer/formdocs/default.aspx</w:t>
      </w:r>
      <w:r w:rsidR="000D5573" w:rsidRPr="000E515B">
        <w:t xml:space="preserve">). </w:t>
      </w:r>
      <w:r w:rsidRPr="000E515B">
        <w:t>Contact BTS for the current form. Ensure that those samples were prepared by a WisDOT qualified laboratory.</w:t>
      </w:r>
      <w:r w:rsidR="000D5573">
        <w:t xml:space="preserve"> </w:t>
      </w:r>
    </w:p>
    <w:p w14:paraId="50A5A167" w14:textId="77777777" w:rsidR="00631DFD" w:rsidRPr="00F4129E" w:rsidRDefault="00631DFD" w:rsidP="00631DFD">
      <w:pPr>
        <w:pStyle w:val="wiParagraph"/>
      </w:pPr>
      <w:bookmarkStart w:id="7" w:name="_Hlk82674169"/>
      <w:r w:rsidRPr="00F4129E">
        <w:tab/>
      </w:r>
      <w:r w:rsidRPr="00F4129E">
        <w:rPr>
          <w:rStyle w:val="wiParagraphNumber"/>
        </w:rPr>
        <w:t>(2)</w:t>
      </w:r>
      <w:r w:rsidRPr="00F4129E">
        <w:tab/>
        <w:t xml:space="preserve">The contractor may replace virgin binder with recovered binder up to the maximum percentage allowed under </w:t>
      </w:r>
      <w:r w:rsidRPr="00F4129E">
        <w:rPr>
          <w:rStyle w:val="wiLink"/>
        </w:rPr>
        <w:t>460.2.5</w:t>
      </w:r>
      <w:r w:rsidRPr="00F4129E">
        <w:t xml:space="preserve"> without further testing. When the design percent asphalt binder replaced exceeds the allowable limits in 460.2.5, the contractor must:</w:t>
      </w:r>
    </w:p>
    <w:p w14:paraId="7D2DC056" w14:textId="77777777" w:rsidR="00631DFD" w:rsidRPr="00F4129E" w:rsidRDefault="00631DFD" w:rsidP="003075FF">
      <w:pPr>
        <w:pStyle w:val="wiBullet1"/>
      </w:pPr>
      <w:r w:rsidRPr="00F4129E">
        <w:t>-</w:t>
      </w:r>
      <w:r w:rsidRPr="00F4129E">
        <w:tab/>
        <w:t>Document adjustments made to the mixture design in the mixture design submittal.</w:t>
      </w:r>
    </w:p>
    <w:p w14:paraId="5F388DDD" w14:textId="249C5A86" w:rsidR="00631DFD" w:rsidRPr="00F4129E" w:rsidRDefault="00631DFD" w:rsidP="003075FF">
      <w:pPr>
        <w:pStyle w:val="wiBullet1"/>
      </w:pPr>
      <w:r w:rsidRPr="00F4129E">
        <w:lastRenderedPageBreak/>
        <w:t>-</w:t>
      </w:r>
      <w:r w:rsidRPr="00F4129E">
        <w:tab/>
        <w:t>Submit test results that indicate the mixture’s asphaltic binder meets or exceeds the upper and lower temperature grade requirements the bid item designates.</w:t>
      </w:r>
    </w:p>
    <w:p w14:paraId="17A74369" w14:textId="77777777" w:rsidR="00631DFD" w:rsidRPr="00F4129E" w:rsidRDefault="00631DFD" w:rsidP="003075FF">
      <w:pPr>
        <w:pStyle w:val="wiBullet2"/>
      </w:pPr>
      <w:r w:rsidRPr="00F4129E">
        <w:t>-</w:t>
      </w:r>
      <w:r w:rsidRPr="00F4129E">
        <w:tab/>
        <w:t>If only one recycled asphaltic material source is used, furnish one of the following:</w:t>
      </w:r>
    </w:p>
    <w:p w14:paraId="06D1CABF" w14:textId="77777777" w:rsidR="00631DFD" w:rsidRPr="00F4129E" w:rsidRDefault="00631DFD" w:rsidP="003075FF">
      <w:pPr>
        <w:pStyle w:val="wiBullet3"/>
      </w:pPr>
      <w:r w:rsidRPr="00F4129E">
        <w:t>-</w:t>
      </w:r>
      <w:r w:rsidRPr="00F4129E">
        <w:tab/>
        <w:t>Test results from extracted and recovered binder from the resultant mixture.</w:t>
      </w:r>
    </w:p>
    <w:p w14:paraId="395BAC52" w14:textId="77777777" w:rsidR="00631DFD" w:rsidRPr="00F4129E" w:rsidRDefault="00631DFD" w:rsidP="003075FF">
      <w:pPr>
        <w:pStyle w:val="wiBullet3"/>
      </w:pPr>
      <w:r w:rsidRPr="00F4129E">
        <w:t>-</w:t>
      </w:r>
      <w:r w:rsidRPr="00F4129E">
        <w:tab/>
        <w:t>Blending charts that indicate the resultant mixture’s high and low temperature PG as an interpolation of the percent binder replaced between the virgin binder’s and the recycled asphaltic material source binder’s high and low temperature PG.</w:t>
      </w:r>
    </w:p>
    <w:p w14:paraId="0CEEA2B4" w14:textId="77777777" w:rsidR="00631DFD" w:rsidRPr="00F4129E" w:rsidRDefault="00631DFD" w:rsidP="003075FF">
      <w:pPr>
        <w:pStyle w:val="wiBullet2"/>
      </w:pPr>
      <w:r w:rsidRPr="00F4129E">
        <w:t>-</w:t>
      </w:r>
      <w:r w:rsidRPr="00F4129E">
        <w:tab/>
        <w:t>If two or more recycled asphaltic material sources are used, furnish test results from extracted and recovered binder from the resultant mixture.</w:t>
      </w:r>
    </w:p>
    <w:bookmarkEnd w:id="5"/>
    <w:bookmarkEnd w:id="6"/>
    <w:bookmarkEnd w:id="7"/>
    <w:p w14:paraId="106FB4CE" w14:textId="77777777" w:rsidR="00631DFD" w:rsidRPr="00F4129E" w:rsidRDefault="00631DFD" w:rsidP="00631DFD">
      <w:pPr>
        <w:pStyle w:val="wiHeading2"/>
      </w:pPr>
      <w:proofErr w:type="gramStart"/>
      <w:r w:rsidRPr="00F4129E">
        <w:t xml:space="preserve">460.2.7  </w:t>
      </w:r>
      <w:proofErr w:type="spellStart"/>
      <w:r w:rsidRPr="00F4129E">
        <w:t>HMA</w:t>
      </w:r>
      <w:proofErr w:type="spellEnd"/>
      <w:proofErr w:type="gramEnd"/>
      <w:r w:rsidRPr="00F4129E">
        <w:t xml:space="preserve"> Mixture Design</w:t>
      </w:r>
    </w:p>
    <w:p w14:paraId="2877FA0F" w14:textId="7937E7FE" w:rsidR="00631DFD" w:rsidRPr="00F4129E" w:rsidRDefault="00631DFD" w:rsidP="00631DFD">
      <w:pPr>
        <w:pStyle w:val="wiParagraph"/>
      </w:pPr>
      <w:r w:rsidRPr="00F4129E">
        <w:tab/>
      </w:r>
      <w:r w:rsidRPr="00F4129E">
        <w:rPr>
          <w:rStyle w:val="wiParagraphNumber"/>
        </w:rPr>
        <w:t>(1)</w:t>
      </w:r>
      <w:r w:rsidRPr="00F4129E">
        <w:tab/>
        <w:t xml:space="preserve">For each </w:t>
      </w:r>
      <w:proofErr w:type="spellStart"/>
      <w:r w:rsidRPr="00F4129E">
        <w:t>HMA</w:t>
      </w:r>
      <w:proofErr w:type="spellEnd"/>
      <w:r w:rsidRPr="00F4129E">
        <w:t xml:space="preserve"> mixture type used under the contract, </w:t>
      </w:r>
      <w:proofErr w:type="gramStart"/>
      <w:r w:rsidRPr="00F4129E">
        <w:t>develop</w:t>
      </w:r>
      <w:proofErr w:type="gramEnd"/>
      <w:r w:rsidRPr="00F4129E">
        <w:t xml:space="preserve"> and submit an asphaltic mixture design according to </w:t>
      </w:r>
      <w:proofErr w:type="spellStart"/>
      <w:r w:rsidRPr="00F4129E">
        <w:rPr>
          <w:rStyle w:val="wiLink"/>
        </w:rPr>
        <w:t>CMM</w:t>
      </w:r>
      <w:proofErr w:type="spellEnd"/>
      <w:r w:rsidRPr="00F4129E">
        <w:rPr>
          <w:rStyle w:val="wiLink"/>
        </w:rPr>
        <w:t xml:space="preserve"> 866</w:t>
      </w:r>
      <w:r w:rsidRPr="00F4129E">
        <w:t xml:space="preserve"> </w:t>
      </w:r>
      <w:r w:rsidRPr="000E515B">
        <w:t xml:space="preserve">and </w:t>
      </w:r>
      <w:r w:rsidR="001E2660" w:rsidRPr="00F0386A">
        <w:rPr>
          <w:rStyle w:val="wiLink"/>
        </w:rPr>
        <w:t>WTM R35</w:t>
      </w:r>
      <w:r w:rsidR="001E2660" w:rsidRPr="000E515B">
        <w:t xml:space="preserve"> and </w:t>
      </w:r>
      <w:r w:rsidRPr="000E515B">
        <w:t xml:space="preserve">conforming to the requirements of table 460-1 and table 460-2. Ensure that </w:t>
      </w:r>
      <w:proofErr w:type="spellStart"/>
      <w:r w:rsidRPr="000E515B">
        <w:t>SMA</w:t>
      </w:r>
      <w:proofErr w:type="spellEnd"/>
      <w:r w:rsidRPr="000E515B">
        <w:t xml:space="preserve"> mixture designs adhere to </w:t>
      </w:r>
      <w:r w:rsidRPr="00F0386A">
        <w:rPr>
          <w:rStyle w:val="wiLink"/>
        </w:rPr>
        <w:t>AASHTO R 46</w:t>
      </w:r>
      <w:r w:rsidRPr="000E515B">
        <w:t xml:space="preserve"> and </w:t>
      </w:r>
      <w:r w:rsidRPr="00F0386A">
        <w:rPr>
          <w:rStyle w:val="wiLink"/>
        </w:rPr>
        <w:t>AASHTO M 325</w:t>
      </w:r>
      <w:r w:rsidRPr="000E515B">
        <w:t xml:space="preserve"> in addition to the required test procedures outlined in </w:t>
      </w:r>
      <w:proofErr w:type="spellStart"/>
      <w:r w:rsidRPr="000E515B">
        <w:t>CMM</w:t>
      </w:r>
      <w:proofErr w:type="spellEnd"/>
      <w:r w:rsidRPr="000E515B">
        <w:t xml:space="preserve"> 866 table 1 and </w:t>
      </w:r>
      <w:proofErr w:type="spellStart"/>
      <w:r w:rsidRPr="000E515B">
        <w:t>CMM</w:t>
      </w:r>
      <w:proofErr w:type="spellEnd"/>
      <w:r w:rsidRPr="000E515B">
        <w:t xml:space="preserve"> 866 table 2. Determine the specific gravity of fines or super fines used as a mineral filler or additional stabilizer in </w:t>
      </w:r>
      <w:proofErr w:type="spellStart"/>
      <w:r w:rsidRPr="000E515B">
        <w:t>SMA</w:t>
      </w:r>
      <w:proofErr w:type="spellEnd"/>
      <w:r w:rsidRPr="000E515B">
        <w:t xml:space="preserve"> designs according to </w:t>
      </w:r>
      <w:r w:rsidR="001E2660" w:rsidRPr="00F0386A">
        <w:rPr>
          <w:rStyle w:val="wiLink"/>
        </w:rPr>
        <w:t>WTM</w:t>
      </w:r>
      <w:r w:rsidRPr="00F0386A">
        <w:rPr>
          <w:rStyle w:val="wiLink"/>
        </w:rPr>
        <w:t xml:space="preserve"> T100</w:t>
      </w:r>
      <w:r w:rsidRPr="000E515B">
        <w:t>. T</w:t>
      </w:r>
      <w:r w:rsidRPr="00F4129E">
        <w:t xml:space="preserve">he values listed are design limits; production values may exceed those limits. The department will review mixture designs and report the results of that review to the designer according to </w:t>
      </w:r>
      <w:proofErr w:type="spellStart"/>
      <w:r w:rsidRPr="00F4129E">
        <w:t>CMM</w:t>
      </w:r>
      <w:proofErr w:type="spellEnd"/>
      <w:r w:rsidRPr="00F4129E">
        <w:t xml:space="preserve"> 866.</w:t>
      </w:r>
    </w:p>
    <w:p w14:paraId="1DC0E645" w14:textId="77777777" w:rsidR="00631DFD" w:rsidRPr="00F4129E" w:rsidRDefault="00631DFD" w:rsidP="00631DFD">
      <w:pPr>
        <w:pStyle w:val="wiTableTitle"/>
      </w:pPr>
      <w:r w:rsidRPr="00F4129E">
        <w:lastRenderedPageBreak/>
        <w:t>TABLE 460-</w:t>
      </w:r>
      <w:proofErr w:type="gramStart"/>
      <w:r w:rsidRPr="00F4129E">
        <w:t>2  MIXTURE</w:t>
      </w:r>
      <w:proofErr w:type="gramEnd"/>
      <w:r w:rsidRPr="00F4129E">
        <w:t xml:space="preserve"> REQUIREMENTS</w:t>
      </w:r>
    </w:p>
    <w:p w14:paraId="0C4EB039" w14:textId="77777777" w:rsidR="00631DFD" w:rsidRPr="00F4129E" w:rsidRDefault="00631DFD" w:rsidP="00631DFD">
      <w:pPr>
        <w:pStyle w:val="wiTableBuffe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000" w:firstRow="0" w:lastRow="0" w:firstColumn="0" w:lastColumn="0" w:noHBand="0" w:noVBand="0"/>
      </w:tblPr>
      <w:tblGrid>
        <w:gridCol w:w="4315"/>
        <w:gridCol w:w="1261"/>
        <w:gridCol w:w="1261"/>
        <w:gridCol w:w="1261"/>
        <w:gridCol w:w="1262"/>
      </w:tblGrid>
      <w:tr w:rsidR="00631DFD" w:rsidRPr="00F4129E" w14:paraId="2D450EA1" w14:textId="77777777" w:rsidTr="00D03502">
        <w:trPr>
          <w:jc w:val="center"/>
        </w:trPr>
        <w:tc>
          <w:tcPr>
            <w:tcW w:w="4315" w:type="dxa"/>
            <w:vAlign w:val="center"/>
          </w:tcPr>
          <w:p w14:paraId="41CB354D" w14:textId="77777777" w:rsidR="00631DFD" w:rsidRPr="00F4129E" w:rsidRDefault="00631DFD" w:rsidP="00D03502">
            <w:pPr>
              <w:pStyle w:val="wiTableUndefined"/>
              <w:spacing w:before="20" w:after="20"/>
              <w:jc w:val="left"/>
            </w:pPr>
            <w:r w:rsidRPr="00F4129E">
              <w:t>Mixture type</w:t>
            </w:r>
          </w:p>
        </w:tc>
        <w:tc>
          <w:tcPr>
            <w:tcW w:w="1261" w:type="dxa"/>
            <w:vAlign w:val="center"/>
          </w:tcPr>
          <w:p w14:paraId="2BC8A676" w14:textId="77777777" w:rsidR="00631DFD" w:rsidRPr="00F4129E" w:rsidRDefault="00631DFD" w:rsidP="00D03502">
            <w:pPr>
              <w:pStyle w:val="wiTableUndefined"/>
              <w:spacing w:before="20" w:after="20"/>
            </w:pPr>
            <w:r w:rsidRPr="00F4129E">
              <w:t>LT</w:t>
            </w:r>
          </w:p>
        </w:tc>
        <w:tc>
          <w:tcPr>
            <w:tcW w:w="1261" w:type="dxa"/>
            <w:vAlign w:val="center"/>
          </w:tcPr>
          <w:p w14:paraId="4BA6CE64" w14:textId="77777777" w:rsidR="00631DFD" w:rsidRPr="00F4129E" w:rsidRDefault="00631DFD" w:rsidP="00D03502">
            <w:pPr>
              <w:pStyle w:val="wiTableUndefined"/>
              <w:spacing w:before="20" w:after="20"/>
            </w:pPr>
            <w:r w:rsidRPr="00F4129E">
              <w:t>MT</w:t>
            </w:r>
          </w:p>
        </w:tc>
        <w:tc>
          <w:tcPr>
            <w:tcW w:w="1261" w:type="dxa"/>
            <w:vAlign w:val="center"/>
          </w:tcPr>
          <w:p w14:paraId="59489DC8" w14:textId="77777777" w:rsidR="00631DFD" w:rsidRPr="00F4129E" w:rsidRDefault="00631DFD" w:rsidP="00D03502">
            <w:pPr>
              <w:pStyle w:val="wiTableUndefined"/>
              <w:spacing w:before="20" w:after="20"/>
            </w:pPr>
            <w:r w:rsidRPr="00F4129E">
              <w:t>HT</w:t>
            </w:r>
          </w:p>
        </w:tc>
        <w:tc>
          <w:tcPr>
            <w:tcW w:w="1262" w:type="dxa"/>
            <w:vAlign w:val="center"/>
          </w:tcPr>
          <w:p w14:paraId="51D9D81F" w14:textId="77777777" w:rsidR="00631DFD" w:rsidRPr="00F4129E" w:rsidRDefault="00631DFD" w:rsidP="00D03502">
            <w:pPr>
              <w:pStyle w:val="wiTableUndefined"/>
              <w:spacing w:before="20" w:after="20"/>
            </w:pPr>
            <w:proofErr w:type="spellStart"/>
            <w:r w:rsidRPr="00F4129E">
              <w:t>SMA</w:t>
            </w:r>
            <w:proofErr w:type="spellEnd"/>
          </w:p>
        </w:tc>
      </w:tr>
      <w:tr w:rsidR="00631DFD" w:rsidRPr="00F4129E" w14:paraId="0CD6CE12" w14:textId="77777777" w:rsidTr="00D03502">
        <w:trPr>
          <w:jc w:val="center"/>
        </w:trPr>
        <w:tc>
          <w:tcPr>
            <w:tcW w:w="4315" w:type="dxa"/>
            <w:tcBorders>
              <w:bottom w:val="nil"/>
            </w:tcBorders>
            <w:vAlign w:val="center"/>
          </w:tcPr>
          <w:p w14:paraId="4D4F0982" w14:textId="7282CD77" w:rsidR="00631DFD" w:rsidRPr="000E515B" w:rsidRDefault="00631DFD" w:rsidP="00D03502">
            <w:pPr>
              <w:pStyle w:val="wiTableUndefined"/>
              <w:spacing w:before="20" w:after="20"/>
              <w:jc w:val="left"/>
            </w:pPr>
            <w:r w:rsidRPr="000E515B">
              <w:t>LA Wear (</w:t>
            </w:r>
            <w:r w:rsidR="001E2660" w:rsidRPr="00F0386A">
              <w:rPr>
                <w:rStyle w:val="wiLink"/>
              </w:rPr>
              <w:t>WTM</w:t>
            </w:r>
            <w:r w:rsidRPr="00F0386A">
              <w:rPr>
                <w:rStyle w:val="wiLink"/>
              </w:rPr>
              <w:t xml:space="preserve"> T96</w:t>
            </w:r>
            <w:r w:rsidRPr="000E515B">
              <w:t>)</w:t>
            </w:r>
          </w:p>
        </w:tc>
        <w:tc>
          <w:tcPr>
            <w:tcW w:w="1261" w:type="dxa"/>
            <w:tcBorders>
              <w:bottom w:val="nil"/>
            </w:tcBorders>
            <w:vAlign w:val="center"/>
          </w:tcPr>
          <w:p w14:paraId="6C2CA3F4" w14:textId="77777777" w:rsidR="00631DFD" w:rsidRPr="00F4129E" w:rsidRDefault="00631DFD" w:rsidP="00D03502">
            <w:pPr>
              <w:pStyle w:val="wiTableUndefined"/>
              <w:spacing w:before="20" w:after="20"/>
            </w:pPr>
          </w:p>
        </w:tc>
        <w:tc>
          <w:tcPr>
            <w:tcW w:w="1261" w:type="dxa"/>
            <w:tcBorders>
              <w:bottom w:val="nil"/>
            </w:tcBorders>
            <w:vAlign w:val="center"/>
          </w:tcPr>
          <w:p w14:paraId="079ABEC8" w14:textId="77777777" w:rsidR="00631DFD" w:rsidRPr="00F4129E" w:rsidRDefault="00631DFD" w:rsidP="00D03502">
            <w:pPr>
              <w:pStyle w:val="wiTableUndefined"/>
              <w:spacing w:before="20" w:after="20"/>
            </w:pPr>
          </w:p>
        </w:tc>
        <w:tc>
          <w:tcPr>
            <w:tcW w:w="1261" w:type="dxa"/>
            <w:tcBorders>
              <w:bottom w:val="nil"/>
            </w:tcBorders>
            <w:vAlign w:val="center"/>
          </w:tcPr>
          <w:p w14:paraId="5695AAF0" w14:textId="77777777" w:rsidR="00631DFD" w:rsidRPr="00F4129E" w:rsidRDefault="00631DFD" w:rsidP="00D03502">
            <w:pPr>
              <w:pStyle w:val="wiTableUndefined"/>
              <w:spacing w:before="20" w:after="20"/>
            </w:pPr>
          </w:p>
        </w:tc>
        <w:tc>
          <w:tcPr>
            <w:tcW w:w="1262" w:type="dxa"/>
            <w:tcBorders>
              <w:bottom w:val="nil"/>
            </w:tcBorders>
            <w:vAlign w:val="center"/>
          </w:tcPr>
          <w:p w14:paraId="46CBA070" w14:textId="77777777" w:rsidR="00631DFD" w:rsidRPr="00F4129E" w:rsidRDefault="00631DFD" w:rsidP="00D03502">
            <w:pPr>
              <w:pStyle w:val="wiTableUndefined"/>
              <w:spacing w:before="20" w:after="20"/>
            </w:pPr>
          </w:p>
        </w:tc>
      </w:tr>
      <w:tr w:rsidR="00631DFD" w:rsidRPr="00F4129E" w14:paraId="19784F38" w14:textId="77777777" w:rsidTr="00D03502">
        <w:trPr>
          <w:jc w:val="center"/>
        </w:trPr>
        <w:tc>
          <w:tcPr>
            <w:tcW w:w="4315" w:type="dxa"/>
            <w:tcBorders>
              <w:top w:val="nil"/>
              <w:bottom w:val="nil"/>
            </w:tcBorders>
            <w:vAlign w:val="center"/>
          </w:tcPr>
          <w:p w14:paraId="27AC32CD" w14:textId="77777777" w:rsidR="00631DFD" w:rsidRPr="000E515B" w:rsidRDefault="00631DFD" w:rsidP="00D03502">
            <w:pPr>
              <w:pStyle w:val="wiTableUndefined"/>
              <w:spacing w:before="20" w:after="20"/>
              <w:ind w:left="288"/>
              <w:jc w:val="left"/>
            </w:pPr>
            <w:r w:rsidRPr="000E515B">
              <w:t xml:space="preserve">100 </w:t>
            </w:r>
            <w:proofErr w:type="gramStart"/>
            <w:r w:rsidRPr="000E515B">
              <w:t>revolutions(</w:t>
            </w:r>
            <w:proofErr w:type="gramEnd"/>
            <w:r w:rsidRPr="000E515B">
              <w:t>max % loss)</w:t>
            </w:r>
          </w:p>
        </w:tc>
        <w:tc>
          <w:tcPr>
            <w:tcW w:w="1261" w:type="dxa"/>
            <w:tcBorders>
              <w:top w:val="nil"/>
              <w:bottom w:val="nil"/>
            </w:tcBorders>
            <w:vAlign w:val="center"/>
          </w:tcPr>
          <w:p w14:paraId="1425A709" w14:textId="77777777" w:rsidR="00631DFD" w:rsidRPr="00F4129E" w:rsidRDefault="00631DFD" w:rsidP="00D03502">
            <w:pPr>
              <w:pStyle w:val="wiTableUndefined"/>
              <w:spacing w:before="20" w:after="20"/>
            </w:pPr>
            <w:r w:rsidRPr="00F4129E">
              <w:t>13</w:t>
            </w:r>
          </w:p>
        </w:tc>
        <w:tc>
          <w:tcPr>
            <w:tcW w:w="1261" w:type="dxa"/>
            <w:tcBorders>
              <w:top w:val="nil"/>
              <w:bottom w:val="nil"/>
            </w:tcBorders>
            <w:vAlign w:val="center"/>
          </w:tcPr>
          <w:p w14:paraId="0385BF78" w14:textId="77777777" w:rsidR="00631DFD" w:rsidRPr="00F4129E" w:rsidRDefault="00631DFD" w:rsidP="00D03502">
            <w:pPr>
              <w:pStyle w:val="wiTableUndefined"/>
              <w:spacing w:before="20" w:after="20"/>
            </w:pPr>
            <w:r w:rsidRPr="00F4129E">
              <w:t>13</w:t>
            </w:r>
          </w:p>
        </w:tc>
        <w:tc>
          <w:tcPr>
            <w:tcW w:w="1261" w:type="dxa"/>
            <w:tcBorders>
              <w:top w:val="nil"/>
              <w:bottom w:val="nil"/>
            </w:tcBorders>
            <w:vAlign w:val="center"/>
          </w:tcPr>
          <w:p w14:paraId="3D0EFEBD" w14:textId="77777777" w:rsidR="00631DFD" w:rsidRPr="00F4129E" w:rsidRDefault="00631DFD" w:rsidP="00D03502">
            <w:pPr>
              <w:pStyle w:val="wiTableUndefined"/>
              <w:spacing w:before="20" w:after="20"/>
            </w:pPr>
            <w:r w:rsidRPr="00F4129E">
              <w:t>13</w:t>
            </w:r>
          </w:p>
        </w:tc>
        <w:tc>
          <w:tcPr>
            <w:tcW w:w="1262" w:type="dxa"/>
            <w:tcBorders>
              <w:top w:val="nil"/>
              <w:bottom w:val="nil"/>
            </w:tcBorders>
            <w:vAlign w:val="center"/>
          </w:tcPr>
          <w:p w14:paraId="034F6F95" w14:textId="77777777" w:rsidR="00631DFD" w:rsidRPr="00F4129E" w:rsidRDefault="00631DFD" w:rsidP="00D03502">
            <w:pPr>
              <w:pStyle w:val="wiTableUndefined"/>
              <w:spacing w:before="20" w:after="20"/>
            </w:pPr>
            <w:r w:rsidRPr="00F4129E">
              <w:t>13</w:t>
            </w:r>
          </w:p>
        </w:tc>
      </w:tr>
      <w:tr w:rsidR="00631DFD" w:rsidRPr="00F4129E" w14:paraId="6749002F" w14:textId="77777777" w:rsidTr="00D03502">
        <w:trPr>
          <w:jc w:val="center"/>
        </w:trPr>
        <w:tc>
          <w:tcPr>
            <w:tcW w:w="4315" w:type="dxa"/>
            <w:tcBorders>
              <w:top w:val="nil"/>
            </w:tcBorders>
            <w:vAlign w:val="center"/>
          </w:tcPr>
          <w:p w14:paraId="3783D1A4" w14:textId="77777777" w:rsidR="00631DFD" w:rsidRPr="000E515B" w:rsidRDefault="00631DFD" w:rsidP="00D03502">
            <w:pPr>
              <w:pStyle w:val="wiTableUndefined"/>
              <w:spacing w:before="20" w:after="20"/>
              <w:ind w:left="288"/>
              <w:jc w:val="left"/>
            </w:pPr>
            <w:r w:rsidRPr="000E515B">
              <w:t xml:space="preserve">500 </w:t>
            </w:r>
            <w:proofErr w:type="gramStart"/>
            <w:r w:rsidRPr="000E515B">
              <w:t>revolutions(</w:t>
            </w:r>
            <w:proofErr w:type="gramEnd"/>
            <w:r w:rsidRPr="000E515B">
              <w:t>max % loss)</w:t>
            </w:r>
          </w:p>
        </w:tc>
        <w:tc>
          <w:tcPr>
            <w:tcW w:w="1261" w:type="dxa"/>
            <w:tcBorders>
              <w:top w:val="nil"/>
            </w:tcBorders>
            <w:vAlign w:val="center"/>
          </w:tcPr>
          <w:p w14:paraId="570E5732" w14:textId="77777777" w:rsidR="00631DFD" w:rsidRPr="00F4129E" w:rsidRDefault="00631DFD" w:rsidP="00D03502">
            <w:pPr>
              <w:pStyle w:val="wiTableUndefined"/>
              <w:spacing w:before="20" w:after="20"/>
            </w:pPr>
            <w:r w:rsidRPr="00F4129E">
              <w:t>50</w:t>
            </w:r>
          </w:p>
        </w:tc>
        <w:tc>
          <w:tcPr>
            <w:tcW w:w="1261" w:type="dxa"/>
            <w:tcBorders>
              <w:top w:val="nil"/>
            </w:tcBorders>
            <w:vAlign w:val="center"/>
          </w:tcPr>
          <w:p w14:paraId="5C33F21A" w14:textId="77777777" w:rsidR="00631DFD" w:rsidRPr="00F4129E" w:rsidRDefault="00631DFD" w:rsidP="00D03502">
            <w:pPr>
              <w:pStyle w:val="wiTableUndefined"/>
              <w:spacing w:before="20" w:after="20"/>
            </w:pPr>
            <w:r w:rsidRPr="00F4129E">
              <w:t>45</w:t>
            </w:r>
          </w:p>
        </w:tc>
        <w:tc>
          <w:tcPr>
            <w:tcW w:w="1261" w:type="dxa"/>
            <w:tcBorders>
              <w:top w:val="nil"/>
            </w:tcBorders>
            <w:vAlign w:val="center"/>
          </w:tcPr>
          <w:p w14:paraId="4FDBC096" w14:textId="77777777" w:rsidR="00631DFD" w:rsidRPr="00F4129E" w:rsidRDefault="00631DFD" w:rsidP="00D03502">
            <w:pPr>
              <w:pStyle w:val="wiTableUndefined"/>
              <w:spacing w:before="20" w:after="20"/>
            </w:pPr>
            <w:r w:rsidRPr="00F4129E">
              <w:t>45</w:t>
            </w:r>
          </w:p>
        </w:tc>
        <w:tc>
          <w:tcPr>
            <w:tcW w:w="1262" w:type="dxa"/>
            <w:tcBorders>
              <w:top w:val="nil"/>
            </w:tcBorders>
            <w:vAlign w:val="center"/>
          </w:tcPr>
          <w:p w14:paraId="3C781EF9" w14:textId="77777777" w:rsidR="00631DFD" w:rsidRPr="00F4129E" w:rsidRDefault="00631DFD" w:rsidP="00D03502">
            <w:pPr>
              <w:pStyle w:val="wiTableUndefined"/>
              <w:spacing w:before="20" w:after="20"/>
            </w:pPr>
            <w:r w:rsidRPr="00F4129E">
              <w:t>35</w:t>
            </w:r>
          </w:p>
        </w:tc>
      </w:tr>
      <w:tr w:rsidR="00631DFD" w:rsidRPr="00F4129E" w14:paraId="4EDA9EDD" w14:textId="77777777" w:rsidTr="00D03502">
        <w:trPr>
          <w:jc w:val="center"/>
        </w:trPr>
        <w:tc>
          <w:tcPr>
            <w:tcW w:w="4315" w:type="dxa"/>
            <w:vAlign w:val="center"/>
          </w:tcPr>
          <w:p w14:paraId="76990115" w14:textId="56CB72C0" w:rsidR="00631DFD" w:rsidRPr="000E515B" w:rsidRDefault="00631DFD" w:rsidP="00D03502">
            <w:pPr>
              <w:pStyle w:val="wiTableUndefined"/>
              <w:spacing w:before="20" w:after="20"/>
              <w:jc w:val="left"/>
            </w:pPr>
            <w:r w:rsidRPr="000E515B">
              <w:t>Soundness (</w:t>
            </w:r>
            <w:r w:rsidR="001E2660" w:rsidRPr="00F0386A">
              <w:rPr>
                <w:rStyle w:val="wiLink"/>
              </w:rPr>
              <w:t>WTM</w:t>
            </w:r>
            <w:r w:rsidRPr="00F0386A">
              <w:rPr>
                <w:rStyle w:val="wiLink"/>
              </w:rPr>
              <w:t xml:space="preserve"> T104</w:t>
            </w:r>
            <w:r w:rsidRPr="000E515B">
              <w:t>)</w:t>
            </w:r>
            <w:r w:rsidRPr="000E515B">
              <w:br/>
              <w:t>(sodium sulfate, max % loss)</w:t>
            </w:r>
          </w:p>
        </w:tc>
        <w:tc>
          <w:tcPr>
            <w:tcW w:w="1261" w:type="dxa"/>
            <w:vAlign w:val="center"/>
          </w:tcPr>
          <w:p w14:paraId="66CB860D" w14:textId="77777777" w:rsidR="00631DFD" w:rsidRPr="00F4129E" w:rsidRDefault="00631DFD" w:rsidP="00D03502">
            <w:pPr>
              <w:pStyle w:val="wiTableUndefined"/>
              <w:spacing w:before="20" w:after="20"/>
            </w:pPr>
            <w:r w:rsidRPr="00F4129E">
              <w:t>12</w:t>
            </w:r>
          </w:p>
        </w:tc>
        <w:tc>
          <w:tcPr>
            <w:tcW w:w="1261" w:type="dxa"/>
            <w:vAlign w:val="center"/>
          </w:tcPr>
          <w:p w14:paraId="28E291A4" w14:textId="77777777" w:rsidR="00631DFD" w:rsidRPr="00F4129E" w:rsidRDefault="00631DFD" w:rsidP="00D03502">
            <w:pPr>
              <w:pStyle w:val="wiTableUndefined"/>
              <w:spacing w:before="20" w:after="20"/>
            </w:pPr>
            <w:r w:rsidRPr="00F4129E">
              <w:t>12</w:t>
            </w:r>
          </w:p>
        </w:tc>
        <w:tc>
          <w:tcPr>
            <w:tcW w:w="1261" w:type="dxa"/>
            <w:vAlign w:val="center"/>
          </w:tcPr>
          <w:p w14:paraId="16FA1028" w14:textId="77777777" w:rsidR="00631DFD" w:rsidRPr="00F4129E" w:rsidRDefault="00631DFD" w:rsidP="00D03502">
            <w:pPr>
              <w:pStyle w:val="wiTableUndefined"/>
              <w:spacing w:before="20" w:after="20"/>
            </w:pPr>
            <w:r w:rsidRPr="00F4129E">
              <w:t>12</w:t>
            </w:r>
          </w:p>
        </w:tc>
        <w:tc>
          <w:tcPr>
            <w:tcW w:w="1262" w:type="dxa"/>
            <w:vAlign w:val="center"/>
          </w:tcPr>
          <w:p w14:paraId="124A7E44" w14:textId="77777777" w:rsidR="00631DFD" w:rsidRPr="00F4129E" w:rsidRDefault="00631DFD" w:rsidP="00D03502">
            <w:pPr>
              <w:pStyle w:val="wiTableUndefined"/>
              <w:spacing w:before="20" w:after="20"/>
            </w:pPr>
            <w:r w:rsidRPr="00F4129E">
              <w:t>12</w:t>
            </w:r>
          </w:p>
        </w:tc>
      </w:tr>
      <w:tr w:rsidR="00631DFD" w:rsidRPr="00F4129E" w14:paraId="058E27B7" w14:textId="77777777" w:rsidTr="00D03502">
        <w:trPr>
          <w:jc w:val="center"/>
        </w:trPr>
        <w:tc>
          <w:tcPr>
            <w:tcW w:w="4315" w:type="dxa"/>
            <w:vAlign w:val="center"/>
          </w:tcPr>
          <w:p w14:paraId="340D6BE9" w14:textId="500DCB43" w:rsidR="00631DFD" w:rsidRPr="000E515B" w:rsidRDefault="00631DFD" w:rsidP="00D03502">
            <w:pPr>
              <w:pStyle w:val="wiTableUndefined"/>
              <w:spacing w:before="20" w:after="20"/>
              <w:jc w:val="left"/>
            </w:pPr>
            <w:r w:rsidRPr="000E515B">
              <w:t>Freeze/Thaw</w:t>
            </w:r>
            <w:r w:rsidRPr="000E515B">
              <w:br/>
              <w:t>(</w:t>
            </w:r>
            <w:r w:rsidR="001E2660" w:rsidRPr="00F0386A">
              <w:rPr>
                <w:rStyle w:val="wiLink"/>
              </w:rPr>
              <w:t>WTM</w:t>
            </w:r>
            <w:r w:rsidRPr="00F0386A">
              <w:rPr>
                <w:rStyle w:val="wiLink"/>
              </w:rPr>
              <w:t xml:space="preserve"> T103</w:t>
            </w:r>
            <w:r w:rsidRPr="000E515B">
              <w:t>)</w:t>
            </w:r>
            <w:r w:rsidRPr="000E515B">
              <w:br/>
              <w:t>(specified counties, max % loss)</w:t>
            </w:r>
          </w:p>
        </w:tc>
        <w:tc>
          <w:tcPr>
            <w:tcW w:w="1261" w:type="dxa"/>
            <w:vAlign w:val="center"/>
          </w:tcPr>
          <w:p w14:paraId="01F1AB81" w14:textId="77777777" w:rsidR="00631DFD" w:rsidRPr="00F4129E" w:rsidRDefault="00631DFD" w:rsidP="00D03502">
            <w:pPr>
              <w:pStyle w:val="wiTableUndefined"/>
              <w:spacing w:before="20" w:after="20"/>
            </w:pPr>
            <w:r w:rsidRPr="00F4129E">
              <w:t>18</w:t>
            </w:r>
          </w:p>
        </w:tc>
        <w:tc>
          <w:tcPr>
            <w:tcW w:w="1261" w:type="dxa"/>
            <w:vAlign w:val="center"/>
          </w:tcPr>
          <w:p w14:paraId="2F4D2FE2" w14:textId="77777777" w:rsidR="00631DFD" w:rsidRPr="00F4129E" w:rsidRDefault="00631DFD" w:rsidP="00D03502">
            <w:pPr>
              <w:pStyle w:val="wiTableUndefined"/>
              <w:spacing w:before="20" w:after="20"/>
            </w:pPr>
            <w:r w:rsidRPr="00F4129E">
              <w:t>18</w:t>
            </w:r>
          </w:p>
        </w:tc>
        <w:tc>
          <w:tcPr>
            <w:tcW w:w="1261" w:type="dxa"/>
            <w:vAlign w:val="center"/>
          </w:tcPr>
          <w:p w14:paraId="3F32B789" w14:textId="77777777" w:rsidR="00631DFD" w:rsidRPr="00F4129E" w:rsidRDefault="00631DFD" w:rsidP="00D03502">
            <w:pPr>
              <w:pStyle w:val="wiTableUndefined"/>
              <w:spacing w:before="20" w:after="20"/>
            </w:pPr>
            <w:r w:rsidRPr="00F4129E">
              <w:t>18</w:t>
            </w:r>
          </w:p>
        </w:tc>
        <w:tc>
          <w:tcPr>
            <w:tcW w:w="1262" w:type="dxa"/>
            <w:vAlign w:val="center"/>
          </w:tcPr>
          <w:p w14:paraId="17B7E9B9" w14:textId="77777777" w:rsidR="00631DFD" w:rsidRPr="00F4129E" w:rsidRDefault="00631DFD" w:rsidP="00D03502">
            <w:pPr>
              <w:pStyle w:val="wiTableUndefined"/>
              <w:spacing w:before="20" w:after="20"/>
            </w:pPr>
            <w:r w:rsidRPr="00F4129E">
              <w:t>18</w:t>
            </w:r>
          </w:p>
        </w:tc>
      </w:tr>
      <w:tr w:rsidR="00631DFD" w:rsidRPr="00F4129E" w14:paraId="22D0AB36" w14:textId="77777777" w:rsidTr="00D03502">
        <w:trPr>
          <w:jc w:val="center"/>
        </w:trPr>
        <w:tc>
          <w:tcPr>
            <w:tcW w:w="4315" w:type="dxa"/>
            <w:vAlign w:val="center"/>
          </w:tcPr>
          <w:p w14:paraId="3996523A" w14:textId="3C3BA8A6" w:rsidR="00631DFD" w:rsidRPr="000E515B" w:rsidRDefault="001E2660" w:rsidP="00D03502">
            <w:pPr>
              <w:pStyle w:val="wiTableUndefined"/>
              <w:spacing w:before="20" w:after="20"/>
              <w:jc w:val="left"/>
            </w:pPr>
            <w:r w:rsidRPr="000E515B">
              <w:t>Percentage of F</w:t>
            </w:r>
            <w:r w:rsidR="00631DFD" w:rsidRPr="000E515B">
              <w:t xml:space="preserve">racture </w:t>
            </w:r>
            <w:r w:rsidRPr="000E515B">
              <w:t>in Coarse Aggregate</w:t>
            </w:r>
            <w:r w:rsidR="00631DFD" w:rsidRPr="000E515B">
              <w:br/>
              <w:t>(</w:t>
            </w:r>
            <w:r w:rsidRPr="00F0386A">
              <w:rPr>
                <w:rStyle w:val="wiLink"/>
              </w:rPr>
              <w:t>WTM</w:t>
            </w:r>
            <w:r w:rsidR="00631DFD" w:rsidRPr="00F0386A">
              <w:rPr>
                <w:rStyle w:val="wiLink"/>
              </w:rPr>
              <w:t xml:space="preserve"> D5821</w:t>
            </w:r>
            <w:r w:rsidR="00631DFD" w:rsidRPr="000E515B">
              <w:t>)</w:t>
            </w:r>
            <w:r w:rsidR="00631DFD" w:rsidRPr="000E515B">
              <w:br/>
              <w:t>(one face/2 face, % by count)</w:t>
            </w:r>
          </w:p>
        </w:tc>
        <w:tc>
          <w:tcPr>
            <w:tcW w:w="1261" w:type="dxa"/>
            <w:vAlign w:val="center"/>
          </w:tcPr>
          <w:p w14:paraId="56DD3E21" w14:textId="77777777" w:rsidR="00631DFD" w:rsidRPr="00F4129E" w:rsidRDefault="00631DFD" w:rsidP="00D03502">
            <w:pPr>
              <w:pStyle w:val="wiTableUndefined"/>
              <w:spacing w:before="20" w:after="20"/>
            </w:pPr>
            <w:r w:rsidRPr="00F4129E">
              <w:t>65</w:t>
            </w:r>
          </w:p>
        </w:tc>
        <w:tc>
          <w:tcPr>
            <w:tcW w:w="1261" w:type="dxa"/>
            <w:vAlign w:val="center"/>
          </w:tcPr>
          <w:p w14:paraId="00A567A3" w14:textId="77777777" w:rsidR="00631DFD" w:rsidRPr="00F4129E" w:rsidRDefault="00631DFD" w:rsidP="00D03502">
            <w:pPr>
              <w:pStyle w:val="wiTableUndefined"/>
              <w:spacing w:before="20" w:after="20"/>
            </w:pPr>
            <w:r w:rsidRPr="00F4129E">
              <w:t>75 / 60</w:t>
            </w:r>
          </w:p>
        </w:tc>
        <w:tc>
          <w:tcPr>
            <w:tcW w:w="1261" w:type="dxa"/>
            <w:vAlign w:val="center"/>
          </w:tcPr>
          <w:p w14:paraId="64857E0D" w14:textId="77777777" w:rsidR="00631DFD" w:rsidRPr="00F4129E" w:rsidRDefault="00631DFD" w:rsidP="00D03502">
            <w:pPr>
              <w:pStyle w:val="wiTableUndefined"/>
              <w:spacing w:before="20" w:after="20"/>
            </w:pPr>
            <w:r w:rsidRPr="00F4129E">
              <w:t>98 / 90</w:t>
            </w:r>
          </w:p>
        </w:tc>
        <w:tc>
          <w:tcPr>
            <w:tcW w:w="1262" w:type="dxa"/>
            <w:vAlign w:val="center"/>
          </w:tcPr>
          <w:p w14:paraId="7041AE82" w14:textId="77777777" w:rsidR="00631DFD" w:rsidRPr="00F4129E" w:rsidRDefault="00631DFD" w:rsidP="00D03502">
            <w:pPr>
              <w:pStyle w:val="wiTableUndefined"/>
              <w:spacing w:before="20" w:after="20"/>
            </w:pPr>
            <w:r w:rsidRPr="00F4129E">
              <w:t>100/90</w:t>
            </w:r>
          </w:p>
        </w:tc>
      </w:tr>
      <w:tr w:rsidR="00631DFD" w:rsidRPr="00F4129E" w14:paraId="10C96F2C" w14:textId="77777777" w:rsidTr="00D03502">
        <w:trPr>
          <w:jc w:val="center"/>
        </w:trPr>
        <w:tc>
          <w:tcPr>
            <w:tcW w:w="4315" w:type="dxa"/>
            <w:vAlign w:val="center"/>
          </w:tcPr>
          <w:p w14:paraId="3A45055E" w14:textId="3D9B78D1" w:rsidR="00631DFD" w:rsidRPr="000E515B" w:rsidRDefault="00631DFD" w:rsidP="00D03502">
            <w:pPr>
              <w:pStyle w:val="wiTableUndefined"/>
              <w:spacing w:before="20" w:after="20"/>
              <w:jc w:val="left"/>
            </w:pPr>
            <w:r w:rsidRPr="000E515B">
              <w:t>Flat &amp; Elongated (</w:t>
            </w:r>
            <w:r w:rsidR="001E2660" w:rsidRPr="00F0386A">
              <w:rPr>
                <w:rStyle w:val="wiLink"/>
              </w:rPr>
              <w:t>WTM</w:t>
            </w:r>
            <w:r w:rsidRPr="00F0386A">
              <w:rPr>
                <w:rStyle w:val="wiLink"/>
              </w:rPr>
              <w:t xml:space="preserve"> D4791</w:t>
            </w:r>
            <w:r w:rsidRPr="000E515B">
              <w:t>)</w:t>
            </w:r>
            <w:r w:rsidRPr="000E515B">
              <w:br/>
              <w:t>(max %, by weight)</w:t>
            </w:r>
          </w:p>
        </w:tc>
        <w:tc>
          <w:tcPr>
            <w:tcW w:w="1261" w:type="dxa"/>
            <w:vAlign w:val="center"/>
          </w:tcPr>
          <w:p w14:paraId="04EBBD52" w14:textId="77777777" w:rsidR="00631DFD" w:rsidRPr="00F4129E" w:rsidRDefault="00631DFD" w:rsidP="00D03502">
            <w:pPr>
              <w:pStyle w:val="wiTableUndefined"/>
              <w:spacing w:before="20" w:after="20"/>
            </w:pPr>
            <w:r w:rsidRPr="00F4129E">
              <w:t>5</w:t>
            </w:r>
            <w:r w:rsidRPr="00F4129E">
              <w:br/>
              <w:t>(5:1 ratio)</w:t>
            </w:r>
          </w:p>
        </w:tc>
        <w:tc>
          <w:tcPr>
            <w:tcW w:w="1261" w:type="dxa"/>
            <w:vAlign w:val="center"/>
          </w:tcPr>
          <w:p w14:paraId="62CAA1EB" w14:textId="77777777" w:rsidR="00631DFD" w:rsidRPr="00F4129E" w:rsidRDefault="00631DFD" w:rsidP="00D03502">
            <w:pPr>
              <w:pStyle w:val="wiTableUndefined"/>
              <w:spacing w:before="20" w:after="20"/>
            </w:pPr>
            <w:r w:rsidRPr="00F4129E">
              <w:t>5</w:t>
            </w:r>
            <w:r w:rsidRPr="00F4129E">
              <w:br/>
              <w:t>(5:1 ratio)</w:t>
            </w:r>
          </w:p>
        </w:tc>
        <w:tc>
          <w:tcPr>
            <w:tcW w:w="1261" w:type="dxa"/>
            <w:vAlign w:val="center"/>
          </w:tcPr>
          <w:p w14:paraId="12B297E1" w14:textId="77777777" w:rsidR="00631DFD" w:rsidRPr="00F4129E" w:rsidRDefault="00631DFD" w:rsidP="00D03502">
            <w:pPr>
              <w:pStyle w:val="wiTableUndefined"/>
              <w:spacing w:before="20" w:after="20"/>
            </w:pPr>
            <w:r w:rsidRPr="00F4129E">
              <w:t>5</w:t>
            </w:r>
            <w:r w:rsidRPr="00F4129E">
              <w:br/>
              <w:t>(5:1 ratio)</w:t>
            </w:r>
          </w:p>
        </w:tc>
        <w:tc>
          <w:tcPr>
            <w:tcW w:w="1262" w:type="dxa"/>
            <w:vAlign w:val="center"/>
          </w:tcPr>
          <w:p w14:paraId="68794E9B" w14:textId="77777777" w:rsidR="00631DFD" w:rsidRPr="00F4129E" w:rsidRDefault="00631DFD" w:rsidP="00D03502">
            <w:pPr>
              <w:pStyle w:val="wiTableUndefined"/>
              <w:spacing w:before="20" w:after="20"/>
            </w:pPr>
            <w:r w:rsidRPr="00F4129E">
              <w:t>20</w:t>
            </w:r>
            <w:r w:rsidRPr="00F4129E">
              <w:br/>
              <w:t>(3:1 ratio)</w:t>
            </w:r>
          </w:p>
        </w:tc>
      </w:tr>
      <w:tr w:rsidR="00631DFD" w:rsidRPr="00F4129E" w14:paraId="19E9904F" w14:textId="77777777" w:rsidTr="00D03502">
        <w:trPr>
          <w:jc w:val="center"/>
        </w:trPr>
        <w:tc>
          <w:tcPr>
            <w:tcW w:w="4315" w:type="dxa"/>
            <w:vAlign w:val="center"/>
          </w:tcPr>
          <w:p w14:paraId="1ABA9CD0" w14:textId="64BF227F" w:rsidR="00631DFD" w:rsidRPr="000E515B" w:rsidRDefault="00631DFD" w:rsidP="00D03502">
            <w:pPr>
              <w:pStyle w:val="wiTableUndefined"/>
              <w:spacing w:before="20" w:after="20"/>
              <w:jc w:val="left"/>
            </w:pPr>
            <w:r w:rsidRPr="000E515B">
              <w:t>Fine Aggregate Angularity</w:t>
            </w:r>
            <w:r w:rsidRPr="000E515B">
              <w:br/>
              <w:t>(</w:t>
            </w:r>
            <w:r w:rsidR="001E2660" w:rsidRPr="00F0386A">
              <w:rPr>
                <w:rStyle w:val="wiLink"/>
              </w:rPr>
              <w:t>WTM</w:t>
            </w:r>
            <w:r w:rsidRPr="00F0386A">
              <w:rPr>
                <w:rStyle w:val="wiLink"/>
              </w:rPr>
              <w:t xml:space="preserve"> T304</w:t>
            </w:r>
            <w:r w:rsidRPr="000E515B">
              <w:t>, min)</w:t>
            </w:r>
          </w:p>
        </w:tc>
        <w:tc>
          <w:tcPr>
            <w:tcW w:w="1261" w:type="dxa"/>
            <w:vAlign w:val="center"/>
          </w:tcPr>
          <w:p w14:paraId="041EA963" w14:textId="77777777" w:rsidR="00631DFD" w:rsidRPr="00F4129E" w:rsidRDefault="00631DFD" w:rsidP="00D03502">
            <w:pPr>
              <w:pStyle w:val="wiTableUndefined"/>
              <w:spacing w:before="20" w:after="20"/>
            </w:pPr>
            <w:r w:rsidRPr="00F4129E">
              <w:t>40</w:t>
            </w:r>
            <w:r w:rsidRPr="00F4129E">
              <w:rPr>
                <w:i/>
                <w:vertAlign w:val="superscript"/>
              </w:rPr>
              <w:t>[1]</w:t>
            </w:r>
          </w:p>
        </w:tc>
        <w:tc>
          <w:tcPr>
            <w:tcW w:w="1261" w:type="dxa"/>
            <w:vAlign w:val="center"/>
          </w:tcPr>
          <w:p w14:paraId="2754FBEE" w14:textId="77777777" w:rsidR="00631DFD" w:rsidRPr="00F4129E" w:rsidRDefault="00631DFD" w:rsidP="00D03502">
            <w:pPr>
              <w:pStyle w:val="wiTableUndefined"/>
              <w:spacing w:before="20" w:after="20"/>
            </w:pPr>
            <w:r w:rsidRPr="00F4129E">
              <w:t>43</w:t>
            </w:r>
            <w:r w:rsidRPr="00F4129E">
              <w:rPr>
                <w:i/>
                <w:vertAlign w:val="superscript"/>
              </w:rPr>
              <w:t>[1]</w:t>
            </w:r>
          </w:p>
        </w:tc>
        <w:tc>
          <w:tcPr>
            <w:tcW w:w="1261" w:type="dxa"/>
            <w:vAlign w:val="center"/>
          </w:tcPr>
          <w:p w14:paraId="02519F73" w14:textId="77777777" w:rsidR="00631DFD" w:rsidRPr="00F4129E" w:rsidRDefault="00631DFD" w:rsidP="00D03502">
            <w:pPr>
              <w:pStyle w:val="wiTableUndefined"/>
              <w:spacing w:before="20" w:after="20"/>
            </w:pPr>
            <w:r w:rsidRPr="00F4129E">
              <w:t>45</w:t>
            </w:r>
          </w:p>
        </w:tc>
        <w:tc>
          <w:tcPr>
            <w:tcW w:w="1262" w:type="dxa"/>
            <w:vAlign w:val="center"/>
          </w:tcPr>
          <w:p w14:paraId="105EA4EB" w14:textId="77777777" w:rsidR="00631DFD" w:rsidRPr="00F4129E" w:rsidRDefault="00631DFD" w:rsidP="00D03502">
            <w:pPr>
              <w:pStyle w:val="wiTableUndefined"/>
              <w:spacing w:before="20" w:after="20"/>
            </w:pPr>
            <w:r w:rsidRPr="00F4129E">
              <w:t>45</w:t>
            </w:r>
          </w:p>
        </w:tc>
      </w:tr>
      <w:tr w:rsidR="00631DFD" w:rsidRPr="00F4129E" w14:paraId="15F2DBB5" w14:textId="77777777" w:rsidTr="00D03502">
        <w:trPr>
          <w:jc w:val="center"/>
        </w:trPr>
        <w:tc>
          <w:tcPr>
            <w:tcW w:w="4315" w:type="dxa"/>
            <w:vAlign w:val="center"/>
          </w:tcPr>
          <w:p w14:paraId="3051F560" w14:textId="77777777" w:rsidR="00631DFD" w:rsidRPr="000E515B" w:rsidRDefault="00631DFD" w:rsidP="00D03502">
            <w:pPr>
              <w:pStyle w:val="wiTableUndefined"/>
              <w:spacing w:before="20" w:after="20"/>
              <w:jc w:val="left"/>
            </w:pPr>
            <w:r w:rsidRPr="000E515B">
              <w:t>Sand Equivalency (</w:t>
            </w:r>
            <w:r w:rsidRPr="00F0386A">
              <w:rPr>
                <w:rStyle w:val="wiLink"/>
              </w:rPr>
              <w:t>AASHTO T176</w:t>
            </w:r>
            <w:r w:rsidRPr="000E515B">
              <w:t>, min)</w:t>
            </w:r>
          </w:p>
        </w:tc>
        <w:tc>
          <w:tcPr>
            <w:tcW w:w="1261" w:type="dxa"/>
            <w:vAlign w:val="center"/>
          </w:tcPr>
          <w:p w14:paraId="533F3313" w14:textId="77777777" w:rsidR="00631DFD" w:rsidRPr="00F4129E" w:rsidRDefault="00631DFD" w:rsidP="00D03502">
            <w:pPr>
              <w:pStyle w:val="wiTableUndefined"/>
              <w:spacing w:before="20" w:after="20"/>
            </w:pPr>
            <w:r w:rsidRPr="00F4129E">
              <w:t>40</w:t>
            </w:r>
          </w:p>
        </w:tc>
        <w:tc>
          <w:tcPr>
            <w:tcW w:w="1261" w:type="dxa"/>
            <w:vAlign w:val="center"/>
          </w:tcPr>
          <w:p w14:paraId="3A973984" w14:textId="77777777" w:rsidR="00631DFD" w:rsidRPr="00F4129E" w:rsidRDefault="00631DFD" w:rsidP="00D03502">
            <w:pPr>
              <w:pStyle w:val="wiTableUndefined"/>
              <w:spacing w:before="20" w:after="20"/>
            </w:pPr>
            <w:r w:rsidRPr="00F4129E">
              <w:t>40</w:t>
            </w:r>
            <w:r w:rsidRPr="00F4129E">
              <w:rPr>
                <w:i/>
                <w:vertAlign w:val="superscript"/>
              </w:rPr>
              <w:t>[2]</w:t>
            </w:r>
          </w:p>
        </w:tc>
        <w:tc>
          <w:tcPr>
            <w:tcW w:w="1261" w:type="dxa"/>
            <w:vAlign w:val="center"/>
          </w:tcPr>
          <w:p w14:paraId="56866015" w14:textId="77777777" w:rsidR="00631DFD" w:rsidRPr="00F4129E" w:rsidRDefault="00631DFD" w:rsidP="00D03502">
            <w:pPr>
              <w:pStyle w:val="wiTableUndefined"/>
              <w:spacing w:before="20" w:after="20"/>
            </w:pPr>
            <w:r w:rsidRPr="00F4129E">
              <w:t>45</w:t>
            </w:r>
          </w:p>
        </w:tc>
        <w:tc>
          <w:tcPr>
            <w:tcW w:w="1262" w:type="dxa"/>
            <w:vAlign w:val="center"/>
          </w:tcPr>
          <w:p w14:paraId="7C20EB61" w14:textId="77777777" w:rsidR="00631DFD" w:rsidRPr="00F4129E" w:rsidRDefault="00631DFD" w:rsidP="00D03502">
            <w:pPr>
              <w:pStyle w:val="wiTableUndefined"/>
              <w:spacing w:before="20" w:after="20"/>
            </w:pPr>
            <w:r w:rsidRPr="00F4129E">
              <w:t>50</w:t>
            </w:r>
          </w:p>
        </w:tc>
      </w:tr>
      <w:tr w:rsidR="00631DFD" w:rsidRPr="00F4129E" w14:paraId="08BB33EF" w14:textId="77777777" w:rsidTr="00D03502">
        <w:trPr>
          <w:jc w:val="center"/>
        </w:trPr>
        <w:tc>
          <w:tcPr>
            <w:tcW w:w="4315" w:type="dxa"/>
            <w:vAlign w:val="center"/>
          </w:tcPr>
          <w:p w14:paraId="20E35EC9" w14:textId="77777777" w:rsidR="00631DFD" w:rsidRPr="000E515B" w:rsidRDefault="00631DFD" w:rsidP="00D03502">
            <w:pPr>
              <w:pStyle w:val="wiTableUndefined"/>
              <w:spacing w:before="20" w:after="20"/>
              <w:jc w:val="left"/>
            </w:pPr>
            <w:r w:rsidRPr="000E515B">
              <w:t>Clay Lumps and Friable Particle in Aggregate (</w:t>
            </w:r>
            <w:r w:rsidRPr="00F0386A">
              <w:rPr>
                <w:rStyle w:val="wiLink"/>
              </w:rPr>
              <w:t>AASHTO T112</w:t>
            </w:r>
            <w:r w:rsidRPr="000E515B">
              <w:t>)</w:t>
            </w:r>
          </w:p>
        </w:tc>
        <w:tc>
          <w:tcPr>
            <w:tcW w:w="1261" w:type="dxa"/>
            <w:vAlign w:val="center"/>
          </w:tcPr>
          <w:p w14:paraId="4DB8090E" w14:textId="77777777" w:rsidR="00631DFD" w:rsidRPr="00F4129E" w:rsidRDefault="00631DFD" w:rsidP="00D03502">
            <w:pPr>
              <w:pStyle w:val="wiTableUndefined"/>
              <w:spacing w:before="20" w:after="20"/>
            </w:pPr>
            <w:r w:rsidRPr="00F4129E">
              <w:t>&lt;= 1%</w:t>
            </w:r>
          </w:p>
        </w:tc>
        <w:tc>
          <w:tcPr>
            <w:tcW w:w="1261" w:type="dxa"/>
            <w:vAlign w:val="center"/>
          </w:tcPr>
          <w:p w14:paraId="2840353B" w14:textId="77777777" w:rsidR="00631DFD" w:rsidRPr="00F4129E" w:rsidRDefault="00631DFD" w:rsidP="00D03502">
            <w:pPr>
              <w:pStyle w:val="wiTableUndefined"/>
              <w:spacing w:before="20" w:after="20"/>
            </w:pPr>
            <w:r w:rsidRPr="00F4129E">
              <w:t>&lt;= 1%</w:t>
            </w:r>
          </w:p>
        </w:tc>
        <w:tc>
          <w:tcPr>
            <w:tcW w:w="1261" w:type="dxa"/>
            <w:vAlign w:val="center"/>
          </w:tcPr>
          <w:p w14:paraId="4246D56D" w14:textId="77777777" w:rsidR="00631DFD" w:rsidRPr="00F4129E" w:rsidRDefault="00631DFD" w:rsidP="00D03502">
            <w:pPr>
              <w:pStyle w:val="wiTableUndefined"/>
              <w:spacing w:before="20" w:after="20"/>
            </w:pPr>
            <w:r w:rsidRPr="00F4129E">
              <w:t>&lt;= 1%</w:t>
            </w:r>
          </w:p>
        </w:tc>
        <w:tc>
          <w:tcPr>
            <w:tcW w:w="1262" w:type="dxa"/>
            <w:vAlign w:val="center"/>
          </w:tcPr>
          <w:p w14:paraId="32768AE5" w14:textId="77777777" w:rsidR="00631DFD" w:rsidRPr="00F4129E" w:rsidRDefault="00631DFD" w:rsidP="00D03502">
            <w:pPr>
              <w:pStyle w:val="wiTableUndefined"/>
              <w:spacing w:before="20" w:after="20"/>
            </w:pPr>
            <w:r w:rsidRPr="00F4129E">
              <w:t>&lt;= 1%</w:t>
            </w:r>
          </w:p>
        </w:tc>
      </w:tr>
      <w:tr w:rsidR="00631DFD" w:rsidRPr="00F4129E" w14:paraId="09B49A4A" w14:textId="77777777" w:rsidTr="00D03502">
        <w:trPr>
          <w:jc w:val="center"/>
        </w:trPr>
        <w:tc>
          <w:tcPr>
            <w:tcW w:w="4315" w:type="dxa"/>
            <w:vAlign w:val="center"/>
          </w:tcPr>
          <w:p w14:paraId="10C408E8" w14:textId="11107AC2" w:rsidR="00631DFD" w:rsidRPr="000E515B" w:rsidRDefault="00631DFD" w:rsidP="00D03502">
            <w:pPr>
              <w:pStyle w:val="wiTableUndefined"/>
              <w:spacing w:before="20" w:after="20"/>
              <w:jc w:val="left"/>
            </w:pPr>
            <w:r w:rsidRPr="000E515B">
              <w:t xml:space="preserve">Plasticity Index of Material Added to Mixture Design as Mineral Filler </w:t>
            </w:r>
            <w:r w:rsidRPr="00F0386A">
              <w:t>(</w:t>
            </w:r>
            <w:r w:rsidR="001E2660" w:rsidRPr="00537A40">
              <w:rPr>
                <w:rStyle w:val="wiLink"/>
              </w:rPr>
              <w:t>WTM</w:t>
            </w:r>
            <w:r w:rsidRPr="00537A40">
              <w:rPr>
                <w:rStyle w:val="wiLink"/>
              </w:rPr>
              <w:t xml:space="preserve"> T89</w:t>
            </w:r>
            <w:r w:rsidRPr="00F0386A">
              <w:t>/</w:t>
            </w:r>
            <w:r w:rsidR="009215A5" w:rsidRPr="00F0386A">
              <w:t>A</w:t>
            </w:r>
            <w:r w:rsidR="009215A5" w:rsidRPr="000E515B">
              <w:t>ASHTO T</w:t>
            </w:r>
            <w:r w:rsidRPr="000E515B">
              <w:t>90)</w:t>
            </w:r>
          </w:p>
        </w:tc>
        <w:tc>
          <w:tcPr>
            <w:tcW w:w="1261" w:type="dxa"/>
            <w:vAlign w:val="center"/>
          </w:tcPr>
          <w:p w14:paraId="4B965EC8" w14:textId="77777777" w:rsidR="00631DFD" w:rsidRPr="00F4129E" w:rsidRDefault="00631DFD" w:rsidP="00D03502">
            <w:pPr>
              <w:pStyle w:val="wiTableUndefined"/>
              <w:spacing w:before="20" w:after="20"/>
            </w:pPr>
            <w:r w:rsidRPr="00F4129E">
              <w:t>___</w:t>
            </w:r>
          </w:p>
        </w:tc>
        <w:tc>
          <w:tcPr>
            <w:tcW w:w="1261" w:type="dxa"/>
            <w:vAlign w:val="center"/>
          </w:tcPr>
          <w:p w14:paraId="62BF08D4" w14:textId="77777777" w:rsidR="00631DFD" w:rsidRPr="00F4129E" w:rsidRDefault="00631DFD" w:rsidP="00D03502">
            <w:pPr>
              <w:pStyle w:val="wiTableUndefined"/>
              <w:spacing w:before="20" w:after="20"/>
            </w:pPr>
            <w:r w:rsidRPr="00F4129E">
              <w:t>___</w:t>
            </w:r>
          </w:p>
        </w:tc>
        <w:tc>
          <w:tcPr>
            <w:tcW w:w="1261" w:type="dxa"/>
            <w:vAlign w:val="center"/>
          </w:tcPr>
          <w:p w14:paraId="55C2959D" w14:textId="77777777" w:rsidR="00631DFD" w:rsidRPr="00F4129E" w:rsidRDefault="00631DFD" w:rsidP="00D03502">
            <w:pPr>
              <w:pStyle w:val="wiTableUndefined"/>
              <w:spacing w:before="20" w:after="20"/>
            </w:pPr>
            <w:r w:rsidRPr="00F4129E">
              <w:t>___</w:t>
            </w:r>
          </w:p>
        </w:tc>
        <w:tc>
          <w:tcPr>
            <w:tcW w:w="1262" w:type="dxa"/>
            <w:vAlign w:val="center"/>
          </w:tcPr>
          <w:p w14:paraId="24F297C1" w14:textId="77777777" w:rsidR="00631DFD" w:rsidRPr="00F4129E" w:rsidRDefault="00631DFD" w:rsidP="00D03502">
            <w:pPr>
              <w:pStyle w:val="wiTableUndefined"/>
              <w:spacing w:before="20" w:after="20"/>
            </w:pPr>
            <w:r w:rsidRPr="00F4129E">
              <w:t>&lt;= 4</w:t>
            </w:r>
          </w:p>
        </w:tc>
      </w:tr>
      <w:tr w:rsidR="00631DFD" w:rsidRPr="00F4129E" w14:paraId="25CA3254" w14:textId="77777777" w:rsidTr="00D03502">
        <w:trPr>
          <w:jc w:val="center"/>
        </w:trPr>
        <w:tc>
          <w:tcPr>
            <w:tcW w:w="4315" w:type="dxa"/>
            <w:tcBorders>
              <w:bottom w:val="nil"/>
            </w:tcBorders>
            <w:vAlign w:val="center"/>
          </w:tcPr>
          <w:p w14:paraId="708FADD2" w14:textId="77777777" w:rsidR="00631DFD" w:rsidRPr="000E515B" w:rsidRDefault="00631DFD" w:rsidP="00D03502">
            <w:pPr>
              <w:pStyle w:val="wiTableUndefined"/>
              <w:spacing w:before="20" w:after="20"/>
              <w:jc w:val="left"/>
            </w:pPr>
            <w:r w:rsidRPr="000E515B">
              <w:t>Gyratory Compaction</w:t>
            </w:r>
          </w:p>
        </w:tc>
        <w:tc>
          <w:tcPr>
            <w:tcW w:w="1261" w:type="dxa"/>
            <w:tcBorders>
              <w:bottom w:val="nil"/>
            </w:tcBorders>
            <w:vAlign w:val="center"/>
          </w:tcPr>
          <w:p w14:paraId="530C402F" w14:textId="77777777" w:rsidR="00631DFD" w:rsidRPr="00F4129E" w:rsidRDefault="00631DFD" w:rsidP="00D03502">
            <w:pPr>
              <w:pStyle w:val="wiTableUndefined"/>
              <w:spacing w:before="20" w:after="20"/>
            </w:pPr>
          </w:p>
        </w:tc>
        <w:tc>
          <w:tcPr>
            <w:tcW w:w="1261" w:type="dxa"/>
            <w:tcBorders>
              <w:bottom w:val="nil"/>
            </w:tcBorders>
            <w:vAlign w:val="center"/>
          </w:tcPr>
          <w:p w14:paraId="18071E53" w14:textId="77777777" w:rsidR="00631DFD" w:rsidRPr="00F4129E" w:rsidRDefault="00631DFD" w:rsidP="00D03502">
            <w:pPr>
              <w:pStyle w:val="wiTableUndefined"/>
              <w:spacing w:before="20" w:after="20"/>
            </w:pPr>
          </w:p>
        </w:tc>
        <w:tc>
          <w:tcPr>
            <w:tcW w:w="1261" w:type="dxa"/>
            <w:tcBorders>
              <w:bottom w:val="nil"/>
            </w:tcBorders>
            <w:vAlign w:val="center"/>
          </w:tcPr>
          <w:p w14:paraId="6423020F" w14:textId="77777777" w:rsidR="00631DFD" w:rsidRPr="00F4129E" w:rsidRDefault="00631DFD" w:rsidP="00D03502">
            <w:pPr>
              <w:pStyle w:val="wiTableUndefined"/>
              <w:spacing w:before="20" w:after="20"/>
            </w:pPr>
          </w:p>
        </w:tc>
        <w:tc>
          <w:tcPr>
            <w:tcW w:w="1262" w:type="dxa"/>
            <w:tcBorders>
              <w:bottom w:val="nil"/>
            </w:tcBorders>
            <w:vAlign w:val="center"/>
          </w:tcPr>
          <w:p w14:paraId="2E12E439" w14:textId="77777777" w:rsidR="00631DFD" w:rsidRPr="00F4129E" w:rsidRDefault="00631DFD" w:rsidP="00D03502">
            <w:pPr>
              <w:pStyle w:val="wiTableUndefined"/>
              <w:spacing w:before="20" w:after="20"/>
            </w:pPr>
          </w:p>
        </w:tc>
      </w:tr>
      <w:tr w:rsidR="00631DFD" w:rsidRPr="00F4129E" w14:paraId="21CC6AFE" w14:textId="77777777" w:rsidTr="00D03502">
        <w:trPr>
          <w:jc w:val="center"/>
        </w:trPr>
        <w:tc>
          <w:tcPr>
            <w:tcW w:w="4315" w:type="dxa"/>
            <w:tcBorders>
              <w:top w:val="nil"/>
              <w:bottom w:val="nil"/>
            </w:tcBorders>
            <w:vAlign w:val="center"/>
          </w:tcPr>
          <w:p w14:paraId="58F98F44" w14:textId="77777777" w:rsidR="00631DFD" w:rsidRPr="000E515B" w:rsidRDefault="00631DFD" w:rsidP="00D03502">
            <w:pPr>
              <w:pStyle w:val="wiTableUndefined"/>
              <w:spacing w:before="20" w:after="20"/>
              <w:ind w:left="288"/>
              <w:jc w:val="left"/>
            </w:pPr>
            <w:r w:rsidRPr="000E515B">
              <w:t xml:space="preserve">Gyrations for </w:t>
            </w:r>
            <w:proofErr w:type="spellStart"/>
            <w:r w:rsidRPr="000E515B">
              <w:t>Nini</w:t>
            </w:r>
            <w:proofErr w:type="spellEnd"/>
          </w:p>
        </w:tc>
        <w:tc>
          <w:tcPr>
            <w:tcW w:w="1261" w:type="dxa"/>
            <w:tcBorders>
              <w:top w:val="nil"/>
              <w:bottom w:val="nil"/>
            </w:tcBorders>
            <w:vAlign w:val="center"/>
          </w:tcPr>
          <w:p w14:paraId="78F9F9DE" w14:textId="77777777" w:rsidR="00631DFD" w:rsidRPr="00F4129E" w:rsidRDefault="00631DFD" w:rsidP="00D03502">
            <w:pPr>
              <w:pStyle w:val="wiTableUndefined"/>
              <w:spacing w:before="20" w:after="20"/>
            </w:pPr>
            <w:r w:rsidRPr="00F4129E">
              <w:t>6</w:t>
            </w:r>
          </w:p>
        </w:tc>
        <w:tc>
          <w:tcPr>
            <w:tcW w:w="1261" w:type="dxa"/>
            <w:tcBorders>
              <w:top w:val="nil"/>
              <w:bottom w:val="nil"/>
            </w:tcBorders>
            <w:vAlign w:val="center"/>
          </w:tcPr>
          <w:p w14:paraId="28F3B582" w14:textId="77777777" w:rsidR="00631DFD" w:rsidRPr="00F4129E" w:rsidRDefault="00631DFD" w:rsidP="00D03502">
            <w:pPr>
              <w:pStyle w:val="wiTableUndefined"/>
              <w:spacing w:before="20" w:after="20"/>
            </w:pPr>
            <w:r w:rsidRPr="00F4129E">
              <w:t>7</w:t>
            </w:r>
          </w:p>
        </w:tc>
        <w:tc>
          <w:tcPr>
            <w:tcW w:w="1261" w:type="dxa"/>
            <w:tcBorders>
              <w:top w:val="nil"/>
              <w:bottom w:val="nil"/>
            </w:tcBorders>
            <w:vAlign w:val="center"/>
          </w:tcPr>
          <w:p w14:paraId="2886F972" w14:textId="77777777" w:rsidR="00631DFD" w:rsidRPr="00F4129E" w:rsidRDefault="00631DFD" w:rsidP="00D03502">
            <w:pPr>
              <w:pStyle w:val="wiTableUndefined"/>
              <w:spacing w:before="20" w:after="20"/>
            </w:pPr>
            <w:r w:rsidRPr="00F4129E">
              <w:t>8</w:t>
            </w:r>
          </w:p>
        </w:tc>
        <w:tc>
          <w:tcPr>
            <w:tcW w:w="1262" w:type="dxa"/>
            <w:tcBorders>
              <w:top w:val="nil"/>
              <w:bottom w:val="nil"/>
            </w:tcBorders>
            <w:vAlign w:val="center"/>
          </w:tcPr>
          <w:p w14:paraId="5D1C4D40" w14:textId="77777777" w:rsidR="00631DFD" w:rsidRPr="00F4129E" w:rsidRDefault="00631DFD" w:rsidP="00D03502">
            <w:pPr>
              <w:pStyle w:val="wiTableUndefined"/>
              <w:spacing w:before="20" w:after="20"/>
            </w:pPr>
            <w:r w:rsidRPr="00F4129E">
              <w:t>7</w:t>
            </w:r>
          </w:p>
        </w:tc>
      </w:tr>
      <w:tr w:rsidR="00631DFD" w:rsidRPr="00F4129E" w14:paraId="45E81658" w14:textId="77777777" w:rsidTr="00D03502">
        <w:trPr>
          <w:jc w:val="center"/>
        </w:trPr>
        <w:tc>
          <w:tcPr>
            <w:tcW w:w="4315" w:type="dxa"/>
            <w:tcBorders>
              <w:top w:val="nil"/>
              <w:bottom w:val="nil"/>
            </w:tcBorders>
            <w:vAlign w:val="center"/>
          </w:tcPr>
          <w:p w14:paraId="3A31447A" w14:textId="77777777" w:rsidR="00631DFD" w:rsidRPr="000E515B" w:rsidRDefault="00631DFD" w:rsidP="00D03502">
            <w:pPr>
              <w:pStyle w:val="wiTableUndefined"/>
              <w:spacing w:before="20" w:after="20"/>
              <w:ind w:left="288"/>
              <w:jc w:val="left"/>
            </w:pPr>
            <w:r w:rsidRPr="000E515B">
              <w:t xml:space="preserve">Gyrations for </w:t>
            </w:r>
            <w:proofErr w:type="spellStart"/>
            <w:r w:rsidRPr="000E515B">
              <w:t>Ndes</w:t>
            </w:r>
            <w:proofErr w:type="spellEnd"/>
          </w:p>
        </w:tc>
        <w:tc>
          <w:tcPr>
            <w:tcW w:w="1261" w:type="dxa"/>
            <w:tcBorders>
              <w:top w:val="nil"/>
              <w:bottom w:val="nil"/>
            </w:tcBorders>
            <w:vAlign w:val="center"/>
          </w:tcPr>
          <w:p w14:paraId="0F1CCAA0" w14:textId="77777777" w:rsidR="00631DFD" w:rsidRPr="00F4129E" w:rsidRDefault="00631DFD" w:rsidP="00D03502">
            <w:pPr>
              <w:pStyle w:val="wiTableUndefined"/>
              <w:spacing w:before="20" w:after="20"/>
            </w:pPr>
            <w:r w:rsidRPr="00F4129E">
              <w:t>40</w:t>
            </w:r>
          </w:p>
        </w:tc>
        <w:tc>
          <w:tcPr>
            <w:tcW w:w="1261" w:type="dxa"/>
            <w:tcBorders>
              <w:top w:val="nil"/>
              <w:bottom w:val="nil"/>
            </w:tcBorders>
            <w:vAlign w:val="center"/>
          </w:tcPr>
          <w:p w14:paraId="5E96087B" w14:textId="77777777" w:rsidR="00631DFD" w:rsidRPr="00F4129E" w:rsidRDefault="00631DFD" w:rsidP="00D03502">
            <w:pPr>
              <w:pStyle w:val="wiTableUndefined"/>
              <w:spacing w:before="20" w:after="20"/>
            </w:pPr>
            <w:r w:rsidRPr="00F4129E">
              <w:t>75</w:t>
            </w:r>
          </w:p>
        </w:tc>
        <w:tc>
          <w:tcPr>
            <w:tcW w:w="1261" w:type="dxa"/>
            <w:tcBorders>
              <w:top w:val="nil"/>
              <w:bottom w:val="nil"/>
            </w:tcBorders>
            <w:vAlign w:val="center"/>
          </w:tcPr>
          <w:p w14:paraId="3CD044E7" w14:textId="77777777" w:rsidR="00631DFD" w:rsidRPr="00F4129E" w:rsidRDefault="00631DFD" w:rsidP="00D03502">
            <w:pPr>
              <w:pStyle w:val="wiTableUndefined"/>
              <w:spacing w:before="20" w:after="20"/>
            </w:pPr>
            <w:r w:rsidRPr="00F4129E">
              <w:t>100</w:t>
            </w:r>
          </w:p>
        </w:tc>
        <w:tc>
          <w:tcPr>
            <w:tcW w:w="1262" w:type="dxa"/>
            <w:tcBorders>
              <w:top w:val="nil"/>
              <w:bottom w:val="nil"/>
            </w:tcBorders>
            <w:vAlign w:val="center"/>
          </w:tcPr>
          <w:p w14:paraId="1CF0332D" w14:textId="77777777" w:rsidR="00631DFD" w:rsidRPr="00F4129E" w:rsidRDefault="00631DFD" w:rsidP="00D03502">
            <w:pPr>
              <w:pStyle w:val="wiTableUndefined"/>
              <w:spacing w:before="20" w:after="20"/>
            </w:pPr>
            <w:r w:rsidRPr="00F4129E">
              <w:t>65</w:t>
            </w:r>
          </w:p>
        </w:tc>
      </w:tr>
      <w:tr w:rsidR="00631DFD" w:rsidRPr="00F4129E" w14:paraId="42CA1BAC" w14:textId="77777777" w:rsidTr="00D03502">
        <w:trPr>
          <w:jc w:val="center"/>
        </w:trPr>
        <w:tc>
          <w:tcPr>
            <w:tcW w:w="4315" w:type="dxa"/>
            <w:tcBorders>
              <w:top w:val="nil"/>
            </w:tcBorders>
            <w:vAlign w:val="center"/>
          </w:tcPr>
          <w:p w14:paraId="73AE155E" w14:textId="77777777" w:rsidR="00631DFD" w:rsidRPr="000E515B" w:rsidRDefault="00631DFD" w:rsidP="00D03502">
            <w:pPr>
              <w:pStyle w:val="wiTableUndefined"/>
              <w:spacing w:before="20" w:after="20"/>
              <w:ind w:left="288"/>
              <w:jc w:val="left"/>
            </w:pPr>
            <w:r w:rsidRPr="000E515B">
              <w:t xml:space="preserve">Gyrations for </w:t>
            </w:r>
            <w:proofErr w:type="spellStart"/>
            <w:r w:rsidRPr="000E515B">
              <w:t>Nmax</w:t>
            </w:r>
            <w:proofErr w:type="spellEnd"/>
          </w:p>
        </w:tc>
        <w:tc>
          <w:tcPr>
            <w:tcW w:w="1261" w:type="dxa"/>
            <w:tcBorders>
              <w:top w:val="nil"/>
            </w:tcBorders>
            <w:vAlign w:val="center"/>
          </w:tcPr>
          <w:p w14:paraId="7876AA76" w14:textId="77777777" w:rsidR="00631DFD" w:rsidRPr="00F4129E" w:rsidRDefault="00631DFD" w:rsidP="00D03502">
            <w:pPr>
              <w:pStyle w:val="wiTableUndefined"/>
              <w:spacing w:before="20" w:after="20"/>
            </w:pPr>
            <w:r w:rsidRPr="00F4129E">
              <w:t>60</w:t>
            </w:r>
          </w:p>
        </w:tc>
        <w:tc>
          <w:tcPr>
            <w:tcW w:w="1261" w:type="dxa"/>
            <w:tcBorders>
              <w:top w:val="nil"/>
            </w:tcBorders>
            <w:vAlign w:val="center"/>
          </w:tcPr>
          <w:p w14:paraId="7B765FAF" w14:textId="77777777" w:rsidR="00631DFD" w:rsidRPr="00F4129E" w:rsidRDefault="00631DFD" w:rsidP="00D03502">
            <w:pPr>
              <w:pStyle w:val="wiTableUndefined"/>
              <w:spacing w:before="20" w:after="20"/>
            </w:pPr>
            <w:r w:rsidRPr="00F4129E">
              <w:t>115</w:t>
            </w:r>
          </w:p>
        </w:tc>
        <w:tc>
          <w:tcPr>
            <w:tcW w:w="1261" w:type="dxa"/>
            <w:tcBorders>
              <w:top w:val="nil"/>
            </w:tcBorders>
            <w:vAlign w:val="center"/>
          </w:tcPr>
          <w:p w14:paraId="0741AF4B" w14:textId="77777777" w:rsidR="00631DFD" w:rsidRPr="00F4129E" w:rsidRDefault="00631DFD" w:rsidP="00D03502">
            <w:pPr>
              <w:pStyle w:val="wiTableUndefined"/>
              <w:spacing w:before="20" w:after="20"/>
            </w:pPr>
            <w:r w:rsidRPr="00F4129E">
              <w:t>160</w:t>
            </w:r>
          </w:p>
        </w:tc>
        <w:tc>
          <w:tcPr>
            <w:tcW w:w="1262" w:type="dxa"/>
            <w:tcBorders>
              <w:top w:val="nil"/>
            </w:tcBorders>
            <w:vAlign w:val="center"/>
          </w:tcPr>
          <w:p w14:paraId="7DEE8751" w14:textId="77777777" w:rsidR="00631DFD" w:rsidRPr="00F4129E" w:rsidRDefault="00631DFD" w:rsidP="00D03502">
            <w:pPr>
              <w:pStyle w:val="wiTableUndefined"/>
              <w:spacing w:before="20" w:after="20"/>
            </w:pPr>
            <w:r w:rsidRPr="00F4129E">
              <w:t>100</w:t>
            </w:r>
          </w:p>
        </w:tc>
      </w:tr>
      <w:tr w:rsidR="00631DFD" w:rsidRPr="00F4129E" w14:paraId="58AA6E98" w14:textId="77777777" w:rsidTr="00D03502">
        <w:trPr>
          <w:jc w:val="center"/>
        </w:trPr>
        <w:tc>
          <w:tcPr>
            <w:tcW w:w="4315" w:type="dxa"/>
            <w:vAlign w:val="center"/>
          </w:tcPr>
          <w:p w14:paraId="5E946907" w14:textId="77777777" w:rsidR="00631DFD" w:rsidRPr="000E515B" w:rsidRDefault="00631DFD" w:rsidP="00D03502">
            <w:pPr>
              <w:pStyle w:val="wiTableUndefined"/>
              <w:spacing w:before="20" w:after="20"/>
              <w:jc w:val="left"/>
            </w:pPr>
            <w:r w:rsidRPr="000E515B">
              <w:t>Air Voids, %</w:t>
            </w:r>
            <w:proofErr w:type="spellStart"/>
            <w:r w:rsidRPr="000E515B">
              <w:t>Va</w:t>
            </w:r>
            <w:proofErr w:type="spellEnd"/>
            <w:r w:rsidRPr="000E515B">
              <w:br/>
              <w:t>(%</w:t>
            </w:r>
            <w:proofErr w:type="spellStart"/>
            <w:r w:rsidRPr="000E515B">
              <w:t>Gmm</w:t>
            </w:r>
            <w:proofErr w:type="spellEnd"/>
            <w:r w:rsidRPr="000E515B">
              <w:t xml:space="preserve"> </w:t>
            </w:r>
            <w:proofErr w:type="spellStart"/>
            <w:r w:rsidRPr="000E515B">
              <w:t>Ndes</w:t>
            </w:r>
            <w:proofErr w:type="spellEnd"/>
            <w:r w:rsidRPr="000E515B">
              <w:t>)</w:t>
            </w:r>
          </w:p>
        </w:tc>
        <w:tc>
          <w:tcPr>
            <w:tcW w:w="1261" w:type="dxa"/>
            <w:vAlign w:val="center"/>
          </w:tcPr>
          <w:p w14:paraId="7E8E1FAF" w14:textId="77777777" w:rsidR="00631DFD" w:rsidRPr="00F4129E" w:rsidRDefault="00631DFD" w:rsidP="00D03502">
            <w:pPr>
              <w:pStyle w:val="wiTableUndefined"/>
              <w:spacing w:before="20" w:after="20"/>
            </w:pPr>
            <w:r w:rsidRPr="00F4129E">
              <w:t>4.0</w:t>
            </w:r>
            <w:r w:rsidRPr="00F4129E">
              <w:br/>
              <w:t>(96.0)</w:t>
            </w:r>
          </w:p>
        </w:tc>
        <w:tc>
          <w:tcPr>
            <w:tcW w:w="1261" w:type="dxa"/>
            <w:vAlign w:val="center"/>
          </w:tcPr>
          <w:p w14:paraId="2D627D3A" w14:textId="77777777" w:rsidR="00631DFD" w:rsidRPr="00F4129E" w:rsidRDefault="00631DFD" w:rsidP="00D03502">
            <w:pPr>
              <w:pStyle w:val="wiTableUndefined"/>
              <w:spacing w:before="20" w:after="20"/>
            </w:pPr>
            <w:r w:rsidRPr="00F4129E">
              <w:t>4.0</w:t>
            </w:r>
            <w:r w:rsidRPr="00F4129E">
              <w:br/>
              <w:t>(96.0)</w:t>
            </w:r>
          </w:p>
        </w:tc>
        <w:tc>
          <w:tcPr>
            <w:tcW w:w="1261" w:type="dxa"/>
            <w:vAlign w:val="center"/>
          </w:tcPr>
          <w:p w14:paraId="366AEF44" w14:textId="77777777" w:rsidR="00631DFD" w:rsidRPr="00F4129E" w:rsidRDefault="00631DFD" w:rsidP="00D03502">
            <w:pPr>
              <w:pStyle w:val="wiTableUndefined"/>
              <w:spacing w:before="20" w:after="20"/>
            </w:pPr>
            <w:r w:rsidRPr="00F4129E">
              <w:t>4.0</w:t>
            </w:r>
            <w:r w:rsidRPr="00F4129E">
              <w:br/>
              <w:t>(96.0)</w:t>
            </w:r>
          </w:p>
        </w:tc>
        <w:tc>
          <w:tcPr>
            <w:tcW w:w="1262" w:type="dxa"/>
            <w:vAlign w:val="center"/>
          </w:tcPr>
          <w:p w14:paraId="3F69CB56" w14:textId="77777777" w:rsidR="00631DFD" w:rsidRPr="00F4129E" w:rsidRDefault="00631DFD" w:rsidP="00D03502">
            <w:pPr>
              <w:pStyle w:val="wiTableUndefined"/>
              <w:spacing w:before="20" w:after="20"/>
            </w:pPr>
            <w:r w:rsidRPr="00F4129E">
              <w:t>4.5</w:t>
            </w:r>
            <w:r w:rsidRPr="00F4129E">
              <w:br/>
              <w:t>(95.5)</w:t>
            </w:r>
          </w:p>
        </w:tc>
      </w:tr>
      <w:tr w:rsidR="00631DFD" w:rsidRPr="00F4129E" w14:paraId="019C1AA6" w14:textId="77777777" w:rsidTr="00D03502">
        <w:trPr>
          <w:jc w:val="center"/>
        </w:trPr>
        <w:tc>
          <w:tcPr>
            <w:tcW w:w="4315" w:type="dxa"/>
            <w:vAlign w:val="center"/>
          </w:tcPr>
          <w:p w14:paraId="1D619A95" w14:textId="77777777" w:rsidR="00631DFD" w:rsidRPr="000E515B" w:rsidRDefault="00631DFD" w:rsidP="00D03502">
            <w:pPr>
              <w:pStyle w:val="wiTableUndefined"/>
              <w:spacing w:before="20" w:after="20"/>
              <w:jc w:val="left"/>
            </w:pPr>
            <w:r w:rsidRPr="000E515B">
              <w:t xml:space="preserve">% </w:t>
            </w:r>
            <w:proofErr w:type="spellStart"/>
            <w:r w:rsidRPr="000E515B">
              <w:t>Gmm</w:t>
            </w:r>
            <w:proofErr w:type="spellEnd"/>
            <w:r w:rsidRPr="000E515B">
              <w:t xml:space="preserve"> </w:t>
            </w:r>
            <w:proofErr w:type="spellStart"/>
            <w:r w:rsidRPr="000E515B">
              <w:t>Nini</w:t>
            </w:r>
            <w:proofErr w:type="spellEnd"/>
          </w:p>
        </w:tc>
        <w:tc>
          <w:tcPr>
            <w:tcW w:w="1261" w:type="dxa"/>
            <w:vAlign w:val="center"/>
          </w:tcPr>
          <w:p w14:paraId="4474060B" w14:textId="77777777" w:rsidR="00631DFD" w:rsidRPr="00F4129E" w:rsidRDefault="00631DFD" w:rsidP="00D03502">
            <w:pPr>
              <w:pStyle w:val="wiTableUndefined"/>
              <w:spacing w:before="20" w:after="20"/>
            </w:pPr>
            <w:r w:rsidRPr="00F4129E">
              <w:t>&lt;= 91.5</w:t>
            </w:r>
            <w:r w:rsidRPr="00F4129E">
              <w:rPr>
                <w:i/>
                <w:vertAlign w:val="superscript"/>
              </w:rPr>
              <w:t>[3]</w:t>
            </w:r>
          </w:p>
        </w:tc>
        <w:tc>
          <w:tcPr>
            <w:tcW w:w="1261" w:type="dxa"/>
            <w:vAlign w:val="center"/>
          </w:tcPr>
          <w:p w14:paraId="3218AB83" w14:textId="77777777" w:rsidR="00631DFD" w:rsidRPr="00F4129E" w:rsidRDefault="00631DFD" w:rsidP="00D03502">
            <w:pPr>
              <w:pStyle w:val="wiTableUndefined"/>
              <w:spacing w:before="20" w:after="20"/>
            </w:pPr>
            <w:r w:rsidRPr="00F4129E">
              <w:t>&lt;= 89.0</w:t>
            </w:r>
            <w:r w:rsidRPr="00F4129E">
              <w:rPr>
                <w:i/>
                <w:vertAlign w:val="superscript"/>
              </w:rPr>
              <w:t>[3]</w:t>
            </w:r>
          </w:p>
        </w:tc>
        <w:tc>
          <w:tcPr>
            <w:tcW w:w="1261" w:type="dxa"/>
            <w:vAlign w:val="center"/>
          </w:tcPr>
          <w:p w14:paraId="7778A06C" w14:textId="77777777" w:rsidR="00631DFD" w:rsidRPr="00F4129E" w:rsidRDefault="00631DFD" w:rsidP="00D03502">
            <w:pPr>
              <w:pStyle w:val="wiTableUndefined"/>
              <w:spacing w:before="20" w:after="20"/>
            </w:pPr>
            <w:r w:rsidRPr="00F4129E">
              <w:t>&lt;= 89.0</w:t>
            </w:r>
          </w:p>
        </w:tc>
        <w:tc>
          <w:tcPr>
            <w:tcW w:w="1262" w:type="dxa"/>
            <w:vAlign w:val="center"/>
          </w:tcPr>
          <w:p w14:paraId="69AF3549" w14:textId="77777777" w:rsidR="00631DFD" w:rsidRPr="00F4129E" w:rsidRDefault="00631DFD" w:rsidP="00D03502">
            <w:pPr>
              <w:pStyle w:val="wiTableUndefined"/>
              <w:spacing w:before="20" w:after="20"/>
            </w:pPr>
            <w:r w:rsidRPr="00F4129E">
              <w:t>___</w:t>
            </w:r>
          </w:p>
        </w:tc>
      </w:tr>
      <w:tr w:rsidR="00631DFD" w:rsidRPr="00F4129E" w14:paraId="4F825CA7" w14:textId="77777777" w:rsidTr="00D03502">
        <w:trPr>
          <w:jc w:val="center"/>
        </w:trPr>
        <w:tc>
          <w:tcPr>
            <w:tcW w:w="4315" w:type="dxa"/>
            <w:vAlign w:val="center"/>
          </w:tcPr>
          <w:p w14:paraId="5CB6FFB6" w14:textId="77777777" w:rsidR="00631DFD" w:rsidRPr="000E515B" w:rsidRDefault="00631DFD" w:rsidP="00D03502">
            <w:pPr>
              <w:pStyle w:val="wiTableUndefined"/>
              <w:spacing w:before="20" w:after="20"/>
              <w:jc w:val="left"/>
            </w:pPr>
            <w:r w:rsidRPr="000E515B">
              <w:t xml:space="preserve">% </w:t>
            </w:r>
            <w:proofErr w:type="spellStart"/>
            <w:r w:rsidRPr="000E515B">
              <w:t>Gmm</w:t>
            </w:r>
            <w:proofErr w:type="spellEnd"/>
            <w:r w:rsidRPr="000E515B">
              <w:t xml:space="preserve"> </w:t>
            </w:r>
            <w:proofErr w:type="spellStart"/>
            <w:r w:rsidRPr="000E515B">
              <w:t>Nmax</w:t>
            </w:r>
            <w:proofErr w:type="spellEnd"/>
          </w:p>
        </w:tc>
        <w:tc>
          <w:tcPr>
            <w:tcW w:w="1261" w:type="dxa"/>
            <w:vAlign w:val="center"/>
          </w:tcPr>
          <w:p w14:paraId="737CC5CD" w14:textId="77777777" w:rsidR="00631DFD" w:rsidRPr="00F4129E" w:rsidRDefault="00631DFD" w:rsidP="00D03502">
            <w:pPr>
              <w:pStyle w:val="wiTableUndefined"/>
              <w:spacing w:before="20" w:after="20"/>
            </w:pPr>
            <w:r w:rsidRPr="00F4129E">
              <w:t>&lt;= 98.0</w:t>
            </w:r>
          </w:p>
        </w:tc>
        <w:tc>
          <w:tcPr>
            <w:tcW w:w="1261" w:type="dxa"/>
            <w:vAlign w:val="center"/>
          </w:tcPr>
          <w:p w14:paraId="14BD493A" w14:textId="77777777" w:rsidR="00631DFD" w:rsidRPr="00F4129E" w:rsidRDefault="00631DFD" w:rsidP="00D03502">
            <w:pPr>
              <w:pStyle w:val="wiTableUndefined"/>
              <w:spacing w:before="20" w:after="20"/>
            </w:pPr>
            <w:r w:rsidRPr="00F4129E">
              <w:t>&lt;= 98.0</w:t>
            </w:r>
          </w:p>
        </w:tc>
        <w:tc>
          <w:tcPr>
            <w:tcW w:w="1261" w:type="dxa"/>
            <w:vAlign w:val="center"/>
          </w:tcPr>
          <w:p w14:paraId="3CAF045F" w14:textId="77777777" w:rsidR="00631DFD" w:rsidRPr="00F4129E" w:rsidRDefault="00631DFD" w:rsidP="00D03502">
            <w:pPr>
              <w:pStyle w:val="wiTableUndefined"/>
              <w:spacing w:before="20" w:after="20"/>
            </w:pPr>
            <w:r w:rsidRPr="00F4129E">
              <w:t>&lt;= 98.0</w:t>
            </w:r>
          </w:p>
        </w:tc>
        <w:tc>
          <w:tcPr>
            <w:tcW w:w="1262" w:type="dxa"/>
            <w:vAlign w:val="center"/>
          </w:tcPr>
          <w:p w14:paraId="2147833C" w14:textId="77777777" w:rsidR="00631DFD" w:rsidRPr="00F4129E" w:rsidRDefault="00631DFD" w:rsidP="00D03502">
            <w:pPr>
              <w:pStyle w:val="wiTableUndefined"/>
              <w:spacing w:before="20" w:after="20"/>
            </w:pPr>
            <w:r w:rsidRPr="00F4129E">
              <w:t>&lt;= 98.0</w:t>
            </w:r>
          </w:p>
        </w:tc>
      </w:tr>
      <w:tr w:rsidR="00631DFD" w:rsidRPr="00F4129E" w14:paraId="64AF2118" w14:textId="77777777" w:rsidTr="00D03502">
        <w:trPr>
          <w:jc w:val="center"/>
        </w:trPr>
        <w:tc>
          <w:tcPr>
            <w:tcW w:w="4315" w:type="dxa"/>
            <w:vAlign w:val="center"/>
          </w:tcPr>
          <w:p w14:paraId="572953EC" w14:textId="77777777" w:rsidR="00631DFD" w:rsidRPr="000E515B" w:rsidRDefault="00631DFD" w:rsidP="00D03502">
            <w:pPr>
              <w:pStyle w:val="wiTableUndefined"/>
              <w:spacing w:before="20" w:after="20"/>
              <w:jc w:val="left"/>
            </w:pPr>
            <w:r w:rsidRPr="000E515B">
              <w:t xml:space="preserve">Dust to Binder </w:t>
            </w:r>
            <w:proofErr w:type="gramStart"/>
            <w:r w:rsidRPr="000E515B">
              <w:t>Ratio</w:t>
            </w:r>
            <w:r w:rsidRPr="000E515B">
              <w:rPr>
                <w:i/>
                <w:vertAlign w:val="superscript"/>
              </w:rPr>
              <w:t>[</w:t>
            </w:r>
            <w:proofErr w:type="gramEnd"/>
            <w:r w:rsidRPr="000E515B">
              <w:rPr>
                <w:i/>
                <w:vertAlign w:val="superscript"/>
              </w:rPr>
              <w:t>4]</w:t>
            </w:r>
            <w:r w:rsidRPr="000E515B">
              <w:t xml:space="preserve"> (% passing 0.075/</w:t>
            </w:r>
            <w:proofErr w:type="spellStart"/>
            <w:r w:rsidRPr="000E515B">
              <w:t>Pbe</w:t>
            </w:r>
            <w:proofErr w:type="spellEnd"/>
            <w:r w:rsidRPr="000E515B">
              <w:t>)</w:t>
            </w:r>
          </w:p>
        </w:tc>
        <w:tc>
          <w:tcPr>
            <w:tcW w:w="1261" w:type="dxa"/>
            <w:vAlign w:val="center"/>
          </w:tcPr>
          <w:p w14:paraId="67857C18" w14:textId="77777777" w:rsidR="00631DFD" w:rsidRPr="00F4129E" w:rsidRDefault="00631DFD" w:rsidP="00D03502">
            <w:pPr>
              <w:pStyle w:val="wiTableUndefined"/>
              <w:spacing w:before="20" w:after="20"/>
            </w:pPr>
            <w:r w:rsidRPr="00F4129E">
              <w:t>0.6 - 1.2</w:t>
            </w:r>
            <w:r w:rsidRPr="00F4129E">
              <w:rPr>
                <w:i/>
                <w:vertAlign w:val="superscript"/>
              </w:rPr>
              <w:t>[5]</w:t>
            </w:r>
          </w:p>
        </w:tc>
        <w:tc>
          <w:tcPr>
            <w:tcW w:w="1261" w:type="dxa"/>
            <w:vAlign w:val="center"/>
          </w:tcPr>
          <w:p w14:paraId="06F68C20" w14:textId="77777777" w:rsidR="00631DFD" w:rsidRPr="00F4129E" w:rsidRDefault="00631DFD" w:rsidP="00D03502">
            <w:pPr>
              <w:pStyle w:val="wiTableUndefined"/>
              <w:spacing w:before="20" w:after="20"/>
            </w:pPr>
            <w:r w:rsidRPr="00F4129E">
              <w:t>0.6 - 1.2</w:t>
            </w:r>
            <w:r w:rsidRPr="00F4129E">
              <w:rPr>
                <w:i/>
                <w:vertAlign w:val="superscript"/>
              </w:rPr>
              <w:t>[5]</w:t>
            </w:r>
          </w:p>
        </w:tc>
        <w:tc>
          <w:tcPr>
            <w:tcW w:w="1261" w:type="dxa"/>
            <w:vAlign w:val="center"/>
          </w:tcPr>
          <w:p w14:paraId="3B6A4E37" w14:textId="77777777" w:rsidR="00631DFD" w:rsidRPr="00F4129E" w:rsidRDefault="00631DFD" w:rsidP="00D03502">
            <w:pPr>
              <w:pStyle w:val="wiTableUndefined"/>
              <w:spacing w:before="20" w:after="20"/>
            </w:pPr>
            <w:r w:rsidRPr="00F4129E">
              <w:t>0.6 - 1.2</w:t>
            </w:r>
            <w:r w:rsidRPr="00F4129E">
              <w:rPr>
                <w:i/>
                <w:vertAlign w:val="superscript"/>
              </w:rPr>
              <w:t>[5]</w:t>
            </w:r>
          </w:p>
        </w:tc>
        <w:tc>
          <w:tcPr>
            <w:tcW w:w="1262" w:type="dxa"/>
            <w:vAlign w:val="center"/>
          </w:tcPr>
          <w:p w14:paraId="78475C5C" w14:textId="77777777" w:rsidR="00631DFD" w:rsidRPr="00F4129E" w:rsidRDefault="00631DFD" w:rsidP="00D03502">
            <w:pPr>
              <w:pStyle w:val="wiTableUndefined"/>
              <w:spacing w:before="20" w:after="20"/>
            </w:pPr>
            <w:r w:rsidRPr="00F4129E">
              <w:t>1.2 - 2.0</w:t>
            </w:r>
          </w:p>
        </w:tc>
      </w:tr>
      <w:tr w:rsidR="00631DFD" w:rsidRPr="00F4129E" w14:paraId="44D1DD75" w14:textId="77777777" w:rsidTr="00D03502">
        <w:trPr>
          <w:jc w:val="center"/>
        </w:trPr>
        <w:tc>
          <w:tcPr>
            <w:tcW w:w="4315" w:type="dxa"/>
            <w:vAlign w:val="center"/>
          </w:tcPr>
          <w:p w14:paraId="2D95704F" w14:textId="77777777" w:rsidR="00631DFD" w:rsidRPr="000E515B" w:rsidRDefault="00631DFD" w:rsidP="00D03502">
            <w:pPr>
              <w:pStyle w:val="wiTableUndefined"/>
              <w:spacing w:before="20" w:after="20"/>
              <w:jc w:val="left"/>
            </w:pPr>
            <w:r w:rsidRPr="000E515B">
              <w:t xml:space="preserve">Voids filled with Binder (VFB or </w:t>
            </w:r>
            <w:proofErr w:type="spellStart"/>
            <w:r w:rsidRPr="000E515B">
              <w:t>VFA</w:t>
            </w:r>
            <w:proofErr w:type="spellEnd"/>
            <w:r w:rsidRPr="000E515B">
              <w:t>, %)</w:t>
            </w:r>
          </w:p>
        </w:tc>
        <w:tc>
          <w:tcPr>
            <w:tcW w:w="1261" w:type="dxa"/>
            <w:vAlign w:val="center"/>
          </w:tcPr>
          <w:p w14:paraId="59025154" w14:textId="77777777" w:rsidR="00631DFD" w:rsidRPr="00F4129E" w:rsidRDefault="00631DFD" w:rsidP="00D03502">
            <w:pPr>
              <w:pStyle w:val="wiTableUndefined"/>
              <w:spacing w:before="20" w:after="20"/>
            </w:pPr>
            <w:r w:rsidRPr="00F4129E">
              <w:t>68 - 80</w:t>
            </w:r>
            <w:r w:rsidRPr="00F4129E">
              <w:rPr>
                <w:i/>
                <w:vertAlign w:val="superscript"/>
              </w:rPr>
              <w:t>[6] [8]</w:t>
            </w:r>
          </w:p>
        </w:tc>
        <w:tc>
          <w:tcPr>
            <w:tcW w:w="1261" w:type="dxa"/>
            <w:vAlign w:val="center"/>
          </w:tcPr>
          <w:p w14:paraId="48F6DA0F" w14:textId="77777777" w:rsidR="00631DFD" w:rsidRPr="00F4129E" w:rsidRDefault="00631DFD" w:rsidP="00D03502">
            <w:pPr>
              <w:pStyle w:val="wiTableUndefined"/>
              <w:spacing w:before="20" w:after="20"/>
            </w:pPr>
            <w:r w:rsidRPr="00F4129E">
              <w:t>65 - 75</w:t>
            </w:r>
            <w:r w:rsidRPr="00F4129E">
              <w:rPr>
                <w:i/>
                <w:vertAlign w:val="superscript"/>
              </w:rPr>
              <w:t>[6] [7] [9]</w:t>
            </w:r>
          </w:p>
        </w:tc>
        <w:tc>
          <w:tcPr>
            <w:tcW w:w="1261" w:type="dxa"/>
            <w:vAlign w:val="center"/>
          </w:tcPr>
          <w:p w14:paraId="4118436C" w14:textId="77777777" w:rsidR="00631DFD" w:rsidRPr="00F4129E" w:rsidRDefault="00631DFD" w:rsidP="00D03502">
            <w:pPr>
              <w:pStyle w:val="wiTableUndefined"/>
              <w:spacing w:before="20" w:after="20"/>
            </w:pPr>
            <w:r w:rsidRPr="00F4129E">
              <w:t>65 - 75</w:t>
            </w:r>
            <w:r w:rsidRPr="00F4129E">
              <w:rPr>
                <w:i/>
                <w:vertAlign w:val="superscript"/>
              </w:rPr>
              <w:t>[6] [7] [9]</w:t>
            </w:r>
          </w:p>
        </w:tc>
        <w:tc>
          <w:tcPr>
            <w:tcW w:w="1262" w:type="dxa"/>
            <w:vAlign w:val="center"/>
          </w:tcPr>
          <w:p w14:paraId="5ADF5522" w14:textId="77777777" w:rsidR="00631DFD" w:rsidRPr="00F4129E" w:rsidRDefault="00631DFD" w:rsidP="00D03502">
            <w:pPr>
              <w:pStyle w:val="wiTableUndefined"/>
              <w:spacing w:before="20" w:after="20"/>
            </w:pPr>
            <w:r w:rsidRPr="00F4129E">
              <w:t>70 - 80</w:t>
            </w:r>
          </w:p>
        </w:tc>
      </w:tr>
      <w:tr w:rsidR="00631DFD" w:rsidRPr="00F4129E" w14:paraId="02784D32" w14:textId="77777777" w:rsidTr="00D03502">
        <w:trPr>
          <w:jc w:val="center"/>
        </w:trPr>
        <w:tc>
          <w:tcPr>
            <w:tcW w:w="4315" w:type="dxa"/>
            <w:tcBorders>
              <w:bottom w:val="nil"/>
            </w:tcBorders>
            <w:vAlign w:val="center"/>
          </w:tcPr>
          <w:p w14:paraId="42299EC1" w14:textId="4DAA9E84" w:rsidR="00631DFD" w:rsidRPr="000E515B" w:rsidRDefault="00631DFD" w:rsidP="00D03502">
            <w:pPr>
              <w:pStyle w:val="wiTableUndefined"/>
              <w:spacing w:before="20" w:after="20"/>
              <w:jc w:val="left"/>
            </w:pPr>
            <w:r w:rsidRPr="000E515B">
              <w:t>Tensile Strength Ratio (</w:t>
            </w:r>
            <w:proofErr w:type="spellStart"/>
            <w:r w:rsidRPr="000E515B">
              <w:t>TSR</w:t>
            </w:r>
            <w:proofErr w:type="spellEnd"/>
            <w:r w:rsidRPr="000E515B">
              <w:t>) (</w:t>
            </w:r>
            <w:r w:rsidR="009215A5" w:rsidRPr="00F0386A">
              <w:rPr>
                <w:rStyle w:val="wiLink"/>
              </w:rPr>
              <w:t>WTM</w:t>
            </w:r>
            <w:r w:rsidRPr="00F0386A">
              <w:rPr>
                <w:rStyle w:val="wiLink"/>
              </w:rPr>
              <w:t xml:space="preserve"> T283</w:t>
            </w:r>
            <w:r w:rsidRPr="000E515B">
              <w:t>)</w:t>
            </w:r>
          </w:p>
        </w:tc>
        <w:tc>
          <w:tcPr>
            <w:tcW w:w="1261" w:type="dxa"/>
            <w:tcBorders>
              <w:bottom w:val="nil"/>
            </w:tcBorders>
            <w:vAlign w:val="center"/>
          </w:tcPr>
          <w:p w14:paraId="51BC365E" w14:textId="77777777" w:rsidR="00631DFD" w:rsidRPr="00F4129E" w:rsidRDefault="00631DFD" w:rsidP="00D03502">
            <w:pPr>
              <w:pStyle w:val="wiTableUndefined"/>
              <w:spacing w:before="20" w:after="20"/>
            </w:pPr>
          </w:p>
        </w:tc>
        <w:tc>
          <w:tcPr>
            <w:tcW w:w="1261" w:type="dxa"/>
            <w:tcBorders>
              <w:bottom w:val="nil"/>
            </w:tcBorders>
            <w:vAlign w:val="center"/>
          </w:tcPr>
          <w:p w14:paraId="3C7E8F56" w14:textId="77777777" w:rsidR="00631DFD" w:rsidRPr="00F4129E" w:rsidRDefault="00631DFD" w:rsidP="00D03502">
            <w:pPr>
              <w:pStyle w:val="wiTableUndefined"/>
              <w:spacing w:before="20" w:after="20"/>
            </w:pPr>
          </w:p>
        </w:tc>
        <w:tc>
          <w:tcPr>
            <w:tcW w:w="1261" w:type="dxa"/>
            <w:tcBorders>
              <w:bottom w:val="nil"/>
            </w:tcBorders>
            <w:vAlign w:val="center"/>
          </w:tcPr>
          <w:p w14:paraId="5E4DB241" w14:textId="77777777" w:rsidR="00631DFD" w:rsidRPr="00F4129E" w:rsidRDefault="00631DFD" w:rsidP="00D03502">
            <w:pPr>
              <w:pStyle w:val="wiTableUndefined"/>
              <w:spacing w:before="20" w:after="20"/>
            </w:pPr>
          </w:p>
        </w:tc>
        <w:tc>
          <w:tcPr>
            <w:tcW w:w="1262" w:type="dxa"/>
            <w:tcBorders>
              <w:bottom w:val="nil"/>
            </w:tcBorders>
            <w:vAlign w:val="center"/>
          </w:tcPr>
          <w:p w14:paraId="65BC438C" w14:textId="77777777" w:rsidR="00631DFD" w:rsidRPr="00F4129E" w:rsidRDefault="00631DFD" w:rsidP="00D03502">
            <w:pPr>
              <w:pStyle w:val="wiTableUndefined"/>
              <w:spacing w:before="20" w:after="20"/>
            </w:pPr>
          </w:p>
        </w:tc>
      </w:tr>
      <w:tr w:rsidR="00631DFD" w:rsidRPr="00F4129E" w14:paraId="42D24FE3" w14:textId="77777777" w:rsidTr="00D03502">
        <w:trPr>
          <w:jc w:val="center"/>
        </w:trPr>
        <w:tc>
          <w:tcPr>
            <w:tcW w:w="4315" w:type="dxa"/>
            <w:tcBorders>
              <w:top w:val="nil"/>
              <w:bottom w:val="nil"/>
            </w:tcBorders>
            <w:vAlign w:val="center"/>
          </w:tcPr>
          <w:p w14:paraId="5C3629E4" w14:textId="77777777" w:rsidR="00631DFD" w:rsidRPr="00F4129E" w:rsidRDefault="00631DFD" w:rsidP="00D03502">
            <w:pPr>
              <w:pStyle w:val="wiTableUndefined"/>
              <w:spacing w:before="20" w:after="20"/>
              <w:ind w:left="288"/>
              <w:jc w:val="left"/>
            </w:pPr>
            <w:r w:rsidRPr="00F4129E">
              <w:t>no antistripping additive</w:t>
            </w:r>
          </w:p>
        </w:tc>
        <w:tc>
          <w:tcPr>
            <w:tcW w:w="1261" w:type="dxa"/>
            <w:tcBorders>
              <w:top w:val="nil"/>
              <w:bottom w:val="nil"/>
            </w:tcBorders>
            <w:vAlign w:val="center"/>
          </w:tcPr>
          <w:p w14:paraId="24F1E88C" w14:textId="77777777" w:rsidR="00631DFD" w:rsidRPr="00F4129E" w:rsidRDefault="00631DFD" w:rsidP="00D03502">
            <w:pPr>
              <w:pStyle w:val="wiTableUndefined"/>
              <w:spacing w:before="20" w:after="20"/>
            </w:pPr>
            <w:r w:rsidRPr="00F4129E">
              <w:t>0.75 min</w:t>
            </w:r>
          </w:p>
        </w:tc>
        <w:tc>
          <w:tcPr>
            <w:tcW w:w="1261" w:type="dxa"/>
            <w:tcBorders>
              <w:top w:val="nil"/>
              <w:bottom w:val="nil"/>
            </w:tcBorders>
            <w:vAlign w:val="center"/>
          </w:tcPr>
          <w:p w14:paraId="6F730FBC" w14:textId="77777777" w:rsidR="00631DFD" w:rsidRPr="00F4129E" w:rsidRDefault="00631DFD" w:rsidP="00D03502">
            <w:pPr>
              <w:pStyle w:val="wiTableUndefined"/>
              <w:spacing w:before="20" w:after="20"/>
            </w:pPr>
            <w:r w:rsidRPr="00F4129E">
              <w:t>0.75 min</w:t>
            </w:r>
          </w:p>
        </w:tc>
        <w:tc>
          <w:tcPr>
            <w:tcW w:w="1261" w:type="dxa"/>
            <w:tcBorders>
              <w:top w:val="nil"/>
              <w:bottom w:val="nil"/>
            </w:tcBorders>
            <w:vAlign w:val="center"/>
          </w:tcPr>
          <w:p w14:paraId="2C2F8713" w14:textId="77777777" w:rsidR="00631DFD" w:rsidRPr="00F4129E" w:rsidRDefault="00631DFD" w:rsidP="00D03502">
            <w:pPr>
              <w:pStyle w:val="wiTableUndefined"/>
              <w:spacing w:before="20" w:after="20"/>
            </w:pPr>
            <w:r w:rsidRPr="00F4129E">
              <w:t>0.75 min</w:t>
            </w:r>
          </w:p>
        </w:tc>
        <w:tc>
          <w:tcPr>
            <w:tcW w:w="1262" w:type="dxa"/>
            <w:tcBorders>
              <w:top w:val="nil"/>
              <w:bottom w:val="nil"/>
            </w:tcBorders>
            <w:vAlign w:val="center"/>
          </w:tcPr>
          <w:p w14:paraId="365DAD68" w14:textId="77777777" w:rsidR="00631DFD" w:rsidRPr="00F4129E" w:rsidRDefault="00631DFD" w:rsidP="00D03502">
            <w:pPr>
              <w:pStyle w:val="wiTableUndefined"/>
              <w:spacing w:before="20" w:after="20"/>
            </w:pPr>
            <w:r w:rsidRPr="00F4129E">
              <w:t>0.80 min</w:t>
            </w:r>
          </w:p>
        </w:tc>
      </w:tr>
      <w:tr w:rsidR="00631DFD" w:rsidRPr="00F4129E" w14:paraId="1ED51EC2" w14:textId="77777777" w:rsidTr="00D03502">
        <w:trPr>
          <w:jc w:val="center"/>
        </w:trPr>
        <w:tc>
          <w:tcPr>
            <w:tcW w:w="4315" w:type="dxa"/>
            <w:tcBorders>
              <w:top w:val="nil"/>
            </w:tcBorders>
            <w:vAlign w:val="center"/>
          </w:tcPr>
          <w:p w14:paraId="194FA0E4" w14:textId="77777777" w:rsidR="00631DFD" w:rsidRPr="00F4129E" w:rsidRDefault="00631DFD" w:rsidP="00D03502">
            <w:pPr>
              <w:pStyle w:val="wiTableUndefined"/>
              <w:spacing w:before="20" w:after="20"/>
              <w:ind w:left="288"/>
              <w:jc w:val="left"/>
            </w:pPr>
            <w:r w:rsidRPr="00F4129E">
              <w:t>with antistripping additive</w:t>
            </w:r>
          </w:p>
        </w:tc>
        <w:tc>
          <w:tcPr>
            <w:tcW w:w="1261" w:type="dxa"/>
            <w:tcBorders>
              <w:top w:val="nil"/>
            </w:tcBorders>
            <w:vAlign w:val="center"/>
          </w:tcPr>
          <w:p w14:paraId="1EDC141C" w14:textId="77777777" w:rsidR="00631DFD" w:rsidRPr="00F4129E" w:rsidRDefault="00631DFD" w:rsidP="00D03502">
            <w:pPr>
              <w:pStyle w:val="wiTableUndefined"/>
              <w:spacing w:before="20" w:after="20"/>
            </w:pPr>
            <w:r w:rsidRPr="00F4129E">
              <w:t>0.80 min</w:t>
            </w:r>
          </w:p>
        </w:tc>
        <w:tc>
          <w:tcPr>
            <w:tcW w:w="1261" w:type="dxa"/>
            <w:tcBorders>
              <w:top w:val="nil"/>
            </w:tcBorders>
            <w:vAlign w:val="center"/>
          </w:tcPr>
          <w:p w14:paraId="7BFC425F" w14:textId="77777777" w:rsidR="00631DFD" w:rsidRPr="00F4129E" w:rsidRDefault="00631DFD" w:rsidP="00D03502">
            <w:pPr>
              <w:pStyle w:val="wiTableUndefined"/>
              <w:spacing w:before="20" w:after="20"/>
            </w:pPr>
            <w:r w:rsidRPr="00F4129E">
              <w:t>0.80 min</w:t>
            </w:r>
          </w:p>
        </w:tc>
        <w:tc>
          <w:tcPr>
            <w:tcW w:w="1261" w:type="dxa"/>
            <w:tcBorders>
              <w:top w:val="nil"/>
            </w:tcBorders>
            <w:vAlign w:val="center"/>
          </w:tcPr>
          <w:p w14:paraId="178B2C4D" w14:textId="77777777" w:rsidR="00631DFD" w:rsidRPr="00F4129E" w:rsidRDefault="00631DFD" w:rsidP="00D03502">
            <w:pPr>
              <w:pStyle w:val="wiTableUndefined"/>
              <w:spacing w:before="20" w:after="20"/>
            </w:pPr>
            <w:r w:rsidRPr="00F4129E">
              <w:t>0.80 min</w:t>
            </w:r>
          </w:p>
        </w:tc>
        <w:tc>
          <w:tcPr>
            <w:tcW w:w="1262" w:type="dxa"/>
            <w:tcBorders>
              <w:top w:val="nil"/>
            </w:tcBorders>
            <w:vAlign w:val="center"/>
          </w:tcPr>
          <w:p w14:paraId="512F4E21" w14:textId="77777777" w:rsidR="00631DFD" w:rsidRPr="00F4129E" w:rsidRDefault="00631DFD" w:rsidP="00D03502">
            <w:pPr>
              <w:pStyle w:val="wiTableUndefined"/>
              <w:spacing w:before="20" w:after="20"/>
            </w:pPr>
            <w:r w:rsidRPr="00F4129E">
              <w:t>0.80 min</w:t>
            </w:r>
          </w:p>
        </w:tc>
      </w:tr>
      <w:tr w:rsidR="00631DFD" w:rsidRPr="00F4129E" w14:paraId="26F0CF9F" w14:textId="77777777" w:rsidTr="00D03502">
        <w:trPr>
          <w:jc w:val="center"/>
        </w:trPr>
        <w:tc>
          <w:tcPr>
            <w:tcW w:w="4315" w:type="dxa"/>
            <w:vAlign w:val="center"/>
          </w:tcPr>
          <w:p w14:paraId="7109B8FD" w14:textId="77777777" w:rsidR="00631DFD" w:rsidRPr="00F4129E" w:rsidRDefault="00631DFD" w:rsidP="00D03502">
            <w:pPr>
              <w:pStyle w:val="wiTableUndefined"/>
              <w:spacing w:before="20" w:after="20"/>
              <w:jc w:val="left"/>
            </w:pPr>
            <w:proofErr w:type="spellStart"/>
            <w:r w:rsidRPr="00F4129E">
              <w:t>Draindown</w:t>
            </w:r>
            <w:proofErr w:type="spellEnd"/>
            <w:r w:rsidRPr="00F4129E">
              <w:t xml:space="preserve"> (</w:t>
            </w:r>
            <w:r w:rsidRPr="00F0386A">
              <w:rPr>
                <w:rStyle w:val="wiLink"/>
              </w:rPr>
              <w:t>AASHTO T305</w:t>
            </w:r>
            <w:r w:rsidRPr="00F4129E">
              <w:t>) (%)</w:t>
            </w:r>
          </w:p>
        </w:tc>
        <w:tc>
          <w:tcPr>
            <w:tcW w:w="1261" w:type="dxa"/>
            <w:vAlign w:val="center"/>
          </w:tcPr>
          <w:p w14:paraId="1D0AAAD0" w14:textId="77777777" w:rsidR="00631DFD" w:rsidRPr="00F4129E" w:rsidRDefault="00631DFD" w:rsidP="00D03502">
            <w:pPr>
              <w:pStyle w:val="wiTableUndefined"/>
              <w:spacing w:before="20" w:after="20"/>
            </w:pPr>
            <w:r w:rsidRPr="00F4129E">
              <w:t>___</w:t>
            </w:r>
          </w:p>
        </w:tc>
        <w:tc>
          <w:tcPr>
            <w:tcW w:w="1261" w:type="dxa"/>
            <w:vAlign w:val="center"/>
          </w:tcPr>
          <w:p w14:paraId="3D47AC6E" w14:textId="77777777" w:rsidR="00631DFD" w:rsidRPr="00F4129E" w:rsidRDefault="00631DFD" w:rsidP="00D03502">
            <w:pPr>
              <w:pStyle w:val="wiTableUndefined"/>
              <w:spacing w:before="20" w:after="20"/>
            </w:pPr>
            <w:r w:rsidRPr="00F4129E">
              <w:t>___</w:t>
            </w:r>
          </w:p>
        </w:tc>
        <w:tc>
          <w:tcPr>
            <w:tcW w:w="1261" w:type="dxa"/>
            <w:vAlign w:val="center"/>
          </w:tcPr>
          <w:p w14:paraId="01AEBAA7" w14:textId="77777777" w:rsidR="00631DFD" w:rsidRPr="00F4129E" w:rsidRDefault="00631DFD" w:rsidP="00D03502">
            <w:pPr>
              <w:pStyle w:val="wiTableUndefined"/>
              <w:spacing w:before="20" w:after="20"/>
            </w:pPr>
            <w:r w:rsidRPr="00F4129E">
              <w:t>___</w:t>
            </w:r>
          </w:p>
        </w:tc>
        <w:tc>
          <w:tcPr>
            <w:tcW w:w="1262" w:type="dxa"/>
            <w:vAlign w:val="center"/>
          </w:tcPr>
          <w:p w14:paraId="273B3F1C" w14:textId="77777777" w:rsidR="00631DFD" w:rsidRPr="00F4129E" w:rsidRDefault="00631DFD" w:rsidP="00D03502">
            <w:pPr>
              <w:pStyle w:val="wiTableUndefined"/>
              <w:spacing w:before="20" w:after="20"/>
            </w:pPr>
            <w:r w:rsidRPr="00F4129E">
              <w:t>&lt;= 0.30</w:t>
            </w:r>
          </w:p>
        </w:tc>
      </w:tr>
      <w:tr w:rsidR="00631DFD" w:rsidRPr="00F4129E" w14:paraId="2F13DB4D" w14:textId="77777777" w:rsidTr="00D03502">
        <w:trPr>
          <w:jc w:val="center"/>
        </w:trPr>
        <w:tc>
          <w:tcPr>
            <w:tcW w:w="4315" w:type="dxa"/>
          </w:tcPr>
          <w:p w14:paraId="7F59C4F3" w14:textId="77777777" w:rsidR="00631DFD" w:rsidRPr="00F4129E" w:rsidRDefault="00631DFD" w:rsidP="00D03502">
            <w:pPr>
              <w:pStyle w:val="wiTableUndefined"/>
              <w:spacing w:before="20" w:after="20"/>
              <w:jc w:val="left"/>
            </w:pPr>
            <w:r w:rsidRPr="00F4129E">
              <w:t xml:space="preserve">Minimum Effective Asphalt Content, </w:t>
            </w:r>
            <w:proofErr w:type="spellStart"/>
            <w:r w:rsidRPr="00F4129E">
              <w:t>Pbe</w:t>
            </w:r>
            <w:proofErr w:type="spellEnd"/>
            <w:r w:rsidRPr="00F4129E">
              <w:t xml:space="preserve"> (%)</w:t>
            </w:r>
          </w:p>
        </w:tc>
        <w:tc>
          <w:tcPr>
            <w:tcW w:w="1261" w:type="dxa"/>
          </w:tcPr>
          <w:p w14:paraId="31E59557" w14:textId="77777777" w:rsidR="00631DFD" w:rsidRPr="00F4129E" w:rsidRDefault="00631DFD" w:rsidP="00D03502">
            <w:pPr>
              <w:pStyle w:val="wiTableUndefined"/>
              <w:spacing w:before="20" w:after="20"/>
            </w:pPr>
            <w:r w:rsidRPr="00F4129E">
              <w:t>___</w:t>
            </w:r>
          </w:p>
        </w:tc>
        <w:tc>
          <w:tcPr>
            <w:tcW w:w="1261" w:type="dxa"/>
          </w:tcPr>
          <w:p w14:paraId="4F9EF635" w14:textId="77777777" w:rsidR="00631DFD" w:rsidRPr="00F4129E" w:rsidRDefault="00631DFD" w:rsidP="00D03502">
            <w:pPr>
              <w:pStyle w:val="wiTableUndefined"/>
              <w:spacing w:before="20" w:after="20"/>
            </w:pPr>
            <w:r w:rsidRPr="00F4129E">
              <w:t>___</w:t>
            </w:r>
          </w:p>
        </w:tc>
        <w:tc>
          <w:tcPr>
            <w:tcW w:w="1261" w:type="dxa"/>
          </w:tcPr>
          <w:p w14:paraId="205833A9" w14:textId="77777777" w:rsidR="00631DFD" w:rsidRPr="00F4129E" w:rsidRDefault="00631DFD" w:rsidP="00D03502">
            <w:pPr>
              <w:pStyle w:val="wiTableUndefined"/>
              <w:spacing w:before="20" w:after="20"/>
            </w:pPr>
            <w:r w:rsidRPr="00F4129E">
              <w:t>___</w:t>
            </w:r>
          </w:p>
        </w:tc>
        <w:tc>
          <w:tcPr>
            <w:tcW w:w="1262" w:type="dxa"/>
          </w:tcPr>
          <w:p w14:paraId="72C29D27" w14:textId="77777777" w:rsidR="00631DFD" w:rsidRPr="00F4129E" w:rsidRDefault="00631DFD" w:rsidP="00D03502">
            <w:pPr>
              <w:pStyle w:val="wiTableUndefined"/>
              <w:spacing w:before="20" w:after="20"/>
            </w:pPr>
            <w:r w:rsidRPr="00F4129E">
              <w:t>5.5</w:t>
            </w:r>
          </w:p>
        </w:tc>
      </w:tr>
    </w:tbl>
    <w:p w14:paraId="27D0F5D0" w14:textId="77777777" w:rsidR="00631DFD" w:rsidRPr="00F4129E" w:rsidRDefault="00631DFD" w:rsidP="00631DFD">
      <w:pPr>
        <w:pStyle w:val="wiTableFooter"/>
        <w:keepNext/>
      </w:pPr>
      <w:r w:rsidRPr="00F4129E">
        <w:tab/>
      </w:r>
      <w:r w:rsidRPr="00F4129E">
        <w:rPr>
          <w:i/>
          <w:vertAlign w:val="superscript"/>
        </w:rPr>
        <w:t>[1]</w:t>
      </w:r>
      <w:r w:rsidRPr="00F4129E">
        <w:tab/>
        <w:t>For No 6 (4.75 mm) nominal maximum size mixes, the specified fine aggregate angularity is 43 for LT and 45 MT mixes.</w:t>
      </w:r>
    </w:p>
    <w:p w14:paraId="1672E210" w14:textId="77777777" w:rsidR="00631DFD" w:rsidRPr="00F4129E" w:rsidRDefault="00631DFD" w:rsidP="00631DFD">
      <w:pPr>
        <w:pStyle w:val="wiTableFooter"/>
        <w:keepNext/>
      </w:pPr>
      <w:r w:rsidRPr="00F4129E">
        <w:tab/>
      </w:r>
      <w:r w:rsidRPr="00F4129E">
        <w:rPr>
          <w:i/>
          <w:vertAlign w:val="superscript"/>
        </w:rPr>
        <w:t>[2]</w:t>
      </w:r>
      <w:r w:rsidRPr="00F4129E">
        <w:tab/>
        <w:t>For No 6 (4.75 mm) nominal maximum size mixes, the specified sand equivalency is 43 for MT mixes.</w:t>
      </w:r>
    </w:p>
    <w:p w14:paraId="50574DD0" w14:textId="77777777" w:rsidR="00631DFD" w:rsidRPr="00F4129E" w:rsidRDefault="00631DFD" w:rsidP="00631DFD">
      <w:pPr>
        <w:pStyle w:val="wiTableFooter"/>
        <w:keepNext/>
      </w:pPr>
      <w:r w:rsidRPr="00F4129E">
        <w:tab/>
      </w:r>
      <w:r w:rsidRPr="00F4129E">
        <w:rPr>
          <w:i/>
          <w:vertAlign w:val="superscript"/>
        </w:rPr>
        <w:t>[3]</w:t>
      </w:r>
      <w:r w:rsidRPr="00F4129E">
        <w:tab/>
        <w:t>The percent maximum density at initial compaction is only a guideline.</w:t>
      </w:r>
    </w:p>
    <w:p w14:paraId="405101C6" w14:textId="77777777" w:rsidR="00631DFD" w:rsidRPr="00F4129E" w:rsidRDefault="00631DFD" w:rsidP="00631DFD">
      <w:pPr>
        <w:pStyle w:val="wiTableFooter"/>
        <w:keepNext/>
      </w:pPr>
      <w:r w:rsidRPr="00F4129E">
        <w:tab/>
      </w:r>
      <w:r w:rsidRPr="00F4129E">
        <w:rPr>
          <w:i/>
          <w:vertAlign w:val="superscript"/>
        </w:rPr>
        <w:t>[4]</w:t>
      </w:r>
      <w:r w:rsidRPr="00F4129E">
        <w:tab/>
        <w:t xml:space="preserve">For a gradation that passes below the boundaries of the caution zone (ref. </w:t>
      </w:r>
      <w:r w:rsidRPr="00537A40">
        <w:rPr>
          <w:rStyle w:val="wiLink"/>
        </w:rPr>
        <w:t>AASHTO M323</w:t>
      </w:r>
      <w:r w:rsidRPr="00F4129E">
        <w:t xml:space="preserve">), the dust to binder ratio limits </w:t>
      </w:r>
      <w:proofErr w:type="gramStart"/>
      <w:r w:rsidRPr="00F4129E">
        <w:t>are</w:t>
      </w:r>
      <w:proofErr w:type="gramEnd"/>
      <w:r w:rsidRPr="00F4129E">
        <w:t xml:space="preserve"> 0.6 - 1.6.</w:t>
      </w:r>
    </w:p>
    <w:p w14:paraId="7EBDE144" w14:textId="77777777" w:rsidR="00631DFD" w:rsidRPr="00F4129E" w:rsidRDefault="00631DFD" w:rsidP="00631DFD">
      <w:pPr>
        <w:pStyle w:val="wiTableFooter"/>
        <w:keepNext/>
      </w:pPr>
      <w:r w:rsidRPr="00F4129E">
        <w:tab/>
      </w:r>
      <w:r w:rsidRPr="00F4129E">
        <w:rPr>
          <w:i/>
          <w:vertAlign w:val="superscript"/>
        </w:rPr>
        <w:t>[5]</w:t>
      </w:r>
      <w:r w:rsidRPr="00F4129E">
        <w:tab/>
        <w:t xml:space="preserve">For No 6 (4.75 mm) nominal maximum size mixes, the specified dust to binder ratio limits </w:t>
      </w:r>
      <w:proofErr w:type="gramStart"/>
      <w:r w:rsidRPr="00F4129E">
        <w:t>are</w:t>
      </w:r>
      <w:proofErr w:type="gramEnd"/>
      <w:r w:rsidRPr="00F4129E">
        <w:t xml:space="preserve"> 1.0 - 2.0 for LT mixes and 1.5 - 2.0 for MT and HT mixes.</w:t>
      </w:r>
    </w:p>
    <w:p w14:paraId="5577F3D3" w14:textId="77777777" w:rsidR="00631DFD" w:rsidRPr="00F4129E" w:rsidRDefault="00631DFD" w:rsidP="00631DFD">
      <w:pPr>
        <w:pStyle w:val="wiTableFooter"/>
        <w:keepNext/>
      </w:pPr>
      <w:r w:rsidRPr="00F4129E">
        <w:tab/>
      </w:r>
      <w:r w:rsidRPr="00F4129E">
        <w:rPr>
          <w:i/>
          <w:vertAlign w:val="superscript"/>
        </w:rPr>
        <w:t>[6]</w:t>
      </w:r>
      <w:r w:rsidRPr="00F4129E">
        <w:tab/>
        <w:t>For No. 6 (4.75mm) nominal maximum size mixes, the specified VFB is 67 - 79 percent for LT mixes and 66 - 77 percent for MT and HT mixes.</w:t>
      </w:r>
    </w:p>
    <w:p w14:paraId="75D1C4E2" w14:textId="77777777" w:rsidR="00631DFD" w:rsidRPr="00F4129E" w:rsidRDefault="00631DFD" w:rsidP="00631DFD">
      <w:pPr>
        <w:pStyle w:val="wiTableFooter"/>
        <w:keepNext/>
      </w:pPr>
      <w:r w:rsidRPr="00F4129E">
        <w:tab/>
      </w:r>
      <w:r w:rsidRPr="00F4129E">
        <w:rPr>
          <w:i/>
          <w:vertAlign w:val="superscript"/>
        </w:rPr>
        <w:t>[7]</w:t>
      </w:r>
      <w:r w:rsidRPr="00F4129E">
        <w:tab/>
        <w:t>For No. 5 (9.5mm) and No. 4 (12.5 mm) nominal maximum size mixtures, the specified VFB range is 70 - 76 percent.</w:t>
      </w:r>
    </w:p>
    <w:p w14:paraId="0B7B0D23" w14:textId="77777777" w:rsidR="00631DFD" w:rsidRPr="00F4129E" w:rsidRDefault="00631DFD" w:rsidP="00631DFD">
      <w:pPr>
        <w:pStyle w:val="wiTableFooter"/>
        <w:keepNext/>
      </w:pPr>
      <w:r w:rsidRPr="00F4129E">
        <w:tab/>
      </w:r>
      <w:r w:rsidRPr="00F4129E">
        <w:rPr>
          <w:i/>
          <w:vertAlign w:val="superscript"/>
        </w:rPr>
        <w:t>[8]</w:t>
      </w:r>
      <w:r w:rsidRPr="00F4129E">
        <w:tab/>
        <w:t>For No. 2 (25.0mm) nominal maximum size mixes, the specified VFB lower limit is 67 percent.</w:t>
      </w:r>
    </w:p>
    <w:p w14:paraId="0AB3B516" w14:textId="77777777" w:rsidR="00631DFD" w:rsidRPr="00F4129E" w:rsidRDefault="00631DFD" w:rsidP="00631DFD">
      <w:pPr>
        <w:pStyle w:val="wiTableFooter"/>
      </w:pPr>
      <w:r w:rsidRPr="00F4129E">
        <w:tab/>
      </w:r>
      <w:r w:rsidRPr="00F4129E">
        <w:rPr>
          <w:i/>
          <w:vertAlign w:val="superscript"/>
        </w:rPr>
        <w:t>[9]</w:t>
      </w:r>
      <w:r w:rsidRPr="00F4129E">
        <w:tab/>
        <w:t>For No. 1 (37.5mm) nominal maximum size mixes, the specified VFB lower limit is 67 percent.</w:t>
      </w:r>
    </w:p>
    <w:p w14:paraId="6D26BCE9" w14:textId="10C63517" w:rsidR="00631DFD" w:rsidRPr="00436B3B" w:rsidRDefault="00631DFD" w:rsidP="00631DFD">
      <w:pPr>
        <w:pStyle w:val="wiTableFooter"/>
        <w:rPr>
          <w:sz w:val="8"/>
          <w:szCs w:val="8"/>
        </w:rPr>
      </w:pPr>
    </w:p>
    <w:p w14:paraId="022A3654" w14:textId="77777777" w:rsidR="00631DFD" w:rsidRPr="00F4129E" w:rsidRDefault="00631DFD" w:rsidP="00631DFD">
      <w:pPr>
        <w:pStyle w:val="wiHeading2"/>
      </w:pPr>
      <w:proofErr w:type="gramStart"/>
      <w:r w:rsidRPr="00F4129E">
        <w:t>460.2.8  Quality</w:t>
      </w:r>
      <w:proofErr w:type="gramEnd"/>
      <w:r w:rsidRPr="00F4129E">
        <w:t xml:space="preserve"> Management Program</w:t>
      </w:r>
    </w:p>
    <w:p w14:paraId="2872D569" w14:textId="77777777" w:rsidR="00631DFD" w:rsidRPr="00F4129E" w:rsidRDefault="00631DFD" w:rsidP="00631DFD">
      <w:pPr>
        <w:pStyle w:val="wiHeading3"/>
      </w:pPr>
      <w:proofErr w:type="gramStart"/>
      <w:r w:rsidRPr="00F4129E">
        <w:t>460.2.8.1  General</w:t>
      </w:r>
      <w:proofErr w:type="gramEnd"/>
    </w:p>
    <w:p w14:paraId="5871ED05" w14:textId="77777777" w:rsidR="00631DFD" w:rsidRPr="00F4129E" w:rsidRDefault="00631DFD" w:rsidP="00631DFD">
      <w:pPr>
        <w:pStyle w:val="wiParagraph"/>
      </w:pPr>
      <w:r w:rsidRPr="00F4129E">
        <w:tab/>
      </w:r>
      <w:r w:rsidRPr="00F4129E">
        <w:rPr>
          <w:rStyle w:val="wiParagraphNumber"/>
        </w:rPr>
        <w:t>(1)</w:t>
      </w:r>
      <w:r w:rsidRPr="00F4129E">
        <w:tab/>
        <w:t xml:space="preserve">Provide and maintain a QC program defined as all activities, including mixture design, process control inspection, sampling and testing, and process adjustments related to producing and placing </w:t>
      </w:r>
      <w:proofErr w:type="spellStart"/>
      <w:r w:rsidRPr="00F4129E">
        <w:t>HMA</w:t>
      </w:r>
      <w:proofErr w:type="spellEnd"/>
      <w:r w:rsidRPr="00F4129E">
        <w:t xml:space="preserve"> pavement conforming to the specifications.</w:t>
      </w:r>
    </w:p>
    <w:p w14:paraId="259EBB6D" w14:textId="77777777" w:rsidR="00631DFD" w:rsidRPr="00F4129E" w:rsidRDefault="00631DFD" w:rsidP="00631DFD">
      <w:pPr>
        <w:pStyle w:val="wiParagraph"/>
      </w:pPr>
      <w:r w:rsidRPr="00F4129E">
        <w:lastRenderedPageBreak/>
        <w:tab/>
      </w:r>
      <w:r w:rsidRPr="00F4129E">
        <w:rPr>
          <w:rStyle w:val="wiParagraphNumber"/>
        </w:rPr>
        <w:t>(2)</w:t>
      </w:r>
      <w:r w:rsidRPr="00F4129E">
        <w:tab/>
        <w:t>The department will provide product quality verification as follows:</w:t>
      </w:r>
    </w:p>
    <w:p w14:paraId="5588F992" w14:textId="77777777" w:rsidR="00631DFD" w:rsidRPr="00F4129E" w:rsidRDefault="00631DFD" w:rsidP="00631DFD">
      <w:pPr>
        <w:pStyle w:val="wiNumList1"/>
      </w:pPr>
      <w:r w:rsidRPr="00F4129E">
        <w:tab/>
        <w:t>1.</w:t>
      </w:r>
      <w:r w:rsidRPr="00F4129E">
        <w:tab/>
        <w:t>By conducting verification testing of independent samples.</w:t>
      </w:r>
    </w:p>
    <w:p w14:paraId="02DB3FFE" w14:textId="77777777" w:rsidR="00631DFD" w:rsidRPr="00F4129E" w:rsidRDefault="00631DFD" w:rsidP="00631DFD">
      <w:pPr>
        <w:pStyle w:val="wiNumList1"/>
      </w:pPr>
      <w:r w:rsidRPr="00F4129E">
        <w:tab/>
        <w:t>2.</w:t>
      </w:r>
      <w:r w:rsidRPr="00F4129E">
        <w:tab/>
        <w:t>By periodically observing contractor sampling and testing.</w:t>
      </w:r>
    </w:p>
    <w:p w14:paraId="3032A09B" w14:textId="77777777" w:rsidR="00631DFD" w:rsidRPr="00F4129E" w:rsidRDefault="00631DFD" w:rsidP="00631DFD">
      <w:pPr>
        <w:pStyle w:val="wiNumList1"/>
      </w:pPr>
      <w:r w:rsidRPr="00F4129E">
        <w:tab/>
        <w:t>3.</w:t>
      </w:r>
      <w:r w:rsidRPr="00F4129E">
        <w:tab/>
        <w:t>By monitoring required control charts exhibiting test results and control parameters.</w:t>
      </w:r>
    </w:p>
    <w:p w14:paraId="21483008" w14:textId="77777777" w:rsidR="00631DFD" w:rsidRPr="00F4129E" w:rsidRDefault="00631DFD" w:rsidP="00631DFD">
      <w:pPr>
        <w:pStyle w:val="wiNumList1"/>
      </w:pPr>
      <w:r w:rsidRPr="00F4129E">
        <w:tab/>
        <w:t>4.</w:t>
      </w:r>
      <w:r w:rsidRPr="00F4129E">
        <w:tab/>
        <w:t>By the engineer directing the contractor to take additional samples at any time during production.</w:t>
      </w:r>
    </w:p>
    <w:p w14:paraId="69676597" w14:textId="77777777" w:rsidR="00631DFD" w:rsidRPr="00F4129E" w:rsidRDefault="00631DFD" w:rsidP="00631DFD">
      <w:pPr>
        <w:pStyle w:val="wiHeading3"/>
      </w:pPr>
      <w:proofErr w:type="gramStart"/>
      <w:r w:rsidRPr="00F4129E">
        <w:t>460.2.8.2  Contractor</w:t>
      </w:r>
      <w:proofErr w:type="gramEnd"/>
      <w:r w:rsidRPr="00F4129E">
        <w:t xml:space="preserve"> Testing</w:t>
      </w:r>
    </w:p>
    <w:p w14:paraId="3EB14505" w14:textId="77777777" w:rsidR="00631DFD" w:rsidRPr="00F4129E" w:rsidRDefault="00631DFD" w:rsidP="00631DFD">
      <w:pPr>
        <w:pStyle w:val="wiHeading4"/>
      </w:pPr>
      <w:proofErr w:type="gramStart"/>
      <w:r w:rsidRPr="00F4129E">
        <w:t>460.2.8.2.1  Required</w:t>
      </w:r>
      <w:proofErr w:type="gramEnd"/>
      <w:r w:rsidRPr="00F4129E">
        <w:t xml:space="preserve"> Quality Control Program</w:t>
      </w:r>
    </w:p>
    <w:p w14:paraId="31B1B1A0" w14:textId="77777777" w:rsidR="00631DFD" w:rsidRPr="00F4129E" w:rsidRDefault="00631DFD" w:rsidP="00631DFD">
      <w:pPr>
        <w:pStyle w:val="wiHeading5"/>
      </w:pPr>
      <w:proofErr w:type="gramStart"/>
      <w:r w:rsidRPr="00F4129E">
        <w:t>460.2.8.2.1.1  Personnel</w:t>
      </w:r>
      <w:proofErr w:type="gramEnd"/>
      <w:r w:rsidRPr="00F4129E">
        <w:t xml:space="preserve"> Requirements</w:t>
      </w:r>
    </w:p>
    <w:p w14:paraId="08F814AE" w14:textId="77777777" w:rsidR="00631DFD" w:rsidRPr="00F4129E" w:rsidRDefault="00631DFD" w:rsidP="00631DFD">
      <w:pPr>
        <w:pStyle w:val="wiParagraph"/>
      </w:pPr>
      <w:r w:rsidRPr="00F4129E">
        <w:tab/>
      </w:r>
      <w:r w:rsidRPr="00F4129E">
        <w:rPr>
          <w:rStyle w:val="wiParagraphNumber"/>
        </w:rPr>
        <w:t>(1)</w:t>
      </w:r>
      <w:r w:rsidRPr="00F4129E">
        <w:tab/>
        <w:t xml:space="preserve">Provide </w:t>
      </w:r>
      <w:proofErr w:type="spellStart"/>
      <w:r w:rsidRPr="00F4129E">
        <w:t>HTCP</w:t>
      </w:r>
      <w:proofErr w:type="spellEnd"/>
      <w:r w:rsidRPr="00F4129E">
        <w:t xml:space="preserve">-certified sampling and testing personnel. Provide at least one full-time technician minimally qualified as an </w:t>
      </w:r>
      <w:proofErr w:type="spellStart"/>
      <w:r w:rsidRPr="00F4129E">
        <w:t>HTCP</w:t>
      </w:r>
      <w:proofErr w:type="spellEnd"/>
      <w:r w:rsidRPr="00F4129E">
        <w:t>-certified Hot Mix Asphalt, Technician I, Production Tester (</w:t>
      </w:r>
      <w:proofErr w:type="spellStart"/>
      <w:r w:rsidRPr="00F4129E">
        <w:t>HMA</w:t>
      </w:r>
      <w:proofErr w:type="spellEnd"/>
      <w:r w:rsidRPr="00F4129E">
        <w:t>-IPT) at each plant site furnishing material to the project. Before mixture production begins, provide an organizational chart in the contractor's laboratory. Include the names, telephone numbers, and current certifications of personnel with QC responsibilities. Keep the chart updated.</w:t>
      </w:r>
    </w:p>
    <w:p w14:paraId="303E0A9D" w14:textId="77777777" w:rsidR="00631DFD" w:rsidRPr="00F4129E" w:rsidRDefault="00631DFD" w:rsidP="00631DFD">
      <w:pPr>
        <w:pStyle w:val="wiParagraph"/>
      </w:pPr>
      <w:r w:rsidRPr="00F4129E">
        <w:tab/>
      </w:r>
      <w:r w:rsidRPr="00F4129E">
        <w:rPr>
          <w:rStyle w:val="wiParagraphNumber"/>
        </w:rPr>
        <w:t>(2)</w:t>
      </w:r>
      <w:r w:rsidRPr="00F4129E">
        <w:tab/>
        <w:t xml:space="preserve">Ensure that sampling and testing personnel are minimally qualified as </w:t>
      </w:r>
      <w:proofErr w:type="gramStart"/>
      <w:r w:rsidRPr="00F4129E">
        <w:t>follows</w:t>
      </w:r>
      <w:r w:rsidRPr="00F4129E">
        <w:rPr>
          <w:i/>
          <w:vertAlign w:val="superscript"/>
        </w:rPr>
        <w:t>[</w:t>
      </w:r>
      <w:proofErr w:type="gramEnd"/>
      <w:r w:rsidRPr="00F4129E">
        <w:rPr>
          <w:i/>
          <w:vertAlign w:val="superscript"/>
        </w:rPr>
        <w:t>1]</w:t>
      </w:r>
      <w:r w:rsidRPr="00F4129E">
        <w:t>:</w:t>
      </w:r>
    </w:p>
    <w:p w14:paraId="5729F3BD" w14:textId="77777777" w:rsidR="00631DFD" w:rsidRPr="00F4129E" w:rsidRDefault="00631DFD" w:rsidP="00631DFD">
      <w:pPr>
        <w:pStyle w:val="wiBullet1"/>
      </w:pPr>
      <w:r w:rsidRPr="00F4129E">
        <w:t>-</w:t>
      </w:r>
      <w:r w:rsidRPr="00F4129E">
        <w:tab/>
      </w:r>
      <w:proofErr w:type="spellStart"/>
      <w:r w:rsidRPr="00F4129E">
        <w:t>HMA</w:t>
      </w:r>
      <w:proofErr w:type="spellEnd"/>
      <w:r w:rsidRPr="00F4129E">
        <w:t xml:space="preserve"> technician certified at a level appropriate for sampling, Transportation Materials Sampling Technician (TMS).</w:t>
      </w:r>
    </w:p>
    <w:p w14:paraId="7F78772B" w14:textId="77777777" w:rsidR="00631DFD" w:rsidRPr="00F4129E" w:rsidRDefault="00631DFD" w:rsidP="00631DFD">
      <w:pPr>
        <w:pStyle w:val="wiBullet1"/>
      </w:pPr>
      <w:r w:rsidRPr="00F4129E">
        <w:t>-</w:t>
      </w:r>
      <w:r w:rsidRPr="00F4129E">
        <w:tab/>
      </w:r>
      <w:proofErr w:type="spellStart"/>
      <w:r w:rsidRPr="00F4129E">
        <w:t>HMA</w:t>
      </w:r>
      <w:proofErr w:type="spellEnd"/>
      <w:r w:rsidRPr="00F4129E">
        <w:t xml:space="preserve"> technician certified at a level appropriate for production control testing (</w:t>
      </w:r>
      <w:proofErr w:type="spellStart"/>
      <w:r w:rsidRPr="00F4129E">
        <w:t>HMA</w:t>
      </w:r>
      <w:proofErr w:type="spellEnd"/>
      <w:r w:rsidRPr="00F4129E">
        <w:t>-IPT).</w:t>
      </w:r>
    </w:p>
    <w:p w14:paraId="4B80A0D6" w14:textId="1B3937D4" w:rsidR="00631DFD" w:rsidRDefault="00631DFD" w:rsidP="00631DFD">
      <w:pPr>
        <w:pStyle w:val="wiBullet1"/>
      </w:pPr>
      <w:r w:rsidRPr="00F4129E">
        <w:t>-</w:t>
      </w:r>
      <w:r w:rsidRPr="00F4129E">
        <w:tab/>
        <w:t>Assistant Certified Technician (ACT</w:t>
      </w:r>
      <w:proofErr w:type="gramStart"/>
      <w:r w:rsidRPr="00F4129E">
        <w:t>)</w:t>
      </w:r>
      <w:r w:rsidRPr="00F4129E">
        <w:rPr>
          <w:i/>
          <w:vertAlign w:val="superscript"/>
        </w:rPr>
        <w:t>[</w:t>
      </w:r>
      <w:proofErr w:type="gramEnd"/>
      <w:r w:rsidRPr="00F4129E">
        <w:rPr>
          <w:i/>
          <w:vertAlign w:val="superscript"/>
        </w:rPr>
        <w:t>2]</w:t>
      </w:r>
      <w:r w:rsidRPr="00F4129E">
        <w:t>.</w:t>
      </w:r>
    </w:p>
    <w:p w14:paraId="7D1F786F" w14:textId="77777777" w:rsidR="00047260" w:rsidRPr="00F4129E" w:rsidRDefault="00047260" w:rsidP="00047260">
      <w:pPr>
        <w:pStyle w:val="wiTableBuffer"/>
      </w:pPr>
    </w:p>
    <w:p w14:paraId="20A70118" w14:textId="77777777" w:rsidR="00631DFD" w:rsidRPr="00F4129E" w:rsidRDefault="00631DFD" w:rsidP="00631DFD">
      <w:pPr>
        <w:pStyle w:val="wiFootnote"/>
      </w:pPr>
      <w:r w:rsidRPr="00F4129E">
        <w:tab/>
      </w:r>
      <w:r w:rsidRPr="00F4129E">
        <w:rPr>
          <w:i/>
          <w:vertAlign w:val="superscript"/>
        </w:rPr>
        <w:t>[1]</w:t>
      </w:r>
      <w:r w:rsidRPr="00F4129E">
        <w:tab/>
        <w:t xml:space="preserve">After informing the engineer, a non-certified person under the direct observation of an </w:t>
      </w:r>
      <w:proofErr w:type="spellStart"/>
      <w:r w:rsidRPr="00F4129E">
        <w:t>HTCP</w:t>
      </w:r>
      <w:proofErr w:type="spellEnd"/>
      <w:r w:rsidRPr="00F4129E">
        <w:t xml:space="preserve">-certified </w:t>
      </w:r>
      <w:proofErr w:type="spellStart"/>
      <w:r w:rsidRPr="00F4129E">
        <w:t>HMA</w:t>
      </w:r>
      <w:proofErr w:type="spellEnd"/>
      <w:r w:rsidRPr="00F4129E">
        <w:t xml:space="preserve"> technician may sample for a period not to exceed 3 calendar days.</w:t>
      </w:r>
    </w:p>
    <w:p w14:paraId="41E1B6E8" w14:textId="167BA3DB" w:rsidR="00631DFD" w:rsidRDefault="00631DFD" w:rsidP="00631DFD">
      <w:pPr>
        <w:pStyle w:val="wiFootnote"/>
      </w:pPr>
      <w:r w:rsidRPr="00F4129E">
        <w:tab/>
      </w:r>
      <w:r w:rsidRPr="00F4129E">
        <w:rPr>
          <w:i/>
          <w:vertAlign w:val="superscript"/>
        </w:rPr>
        <w:t>[2]</w:t>
      </w:r>
      <w:r w:rsidRPr="00F4129E">
        <w:tab/>
        <w:t xml:space="preserve">An </w:t>
      </w:r>
      <w:proofErr w:type="spellStart"/>
      <w:r w:rsidRPr="00F4129E">
        <w:t>HTCP</w:t>
      </w:r>
      <w:proofErr w:type="spellEnd"/>
      <w:r w:rsidRPr="00F4129E">
        <w:t xml:space="preserve">-certified </w:t>
      </w:r>
      <w:proofErr w:type="spellStart"/>
      <w:r w:rsidRPr="00F4129E">
        <w:t>HMA</w:t>
      </w:r>
      <w:proofErr w:type="spellEnd"/>
      <w:r w:rsidRPr="00F4129E">
        <w:t xml:space="preserve"> technician must coordinate and take responsibility for the work an ACT performs. No more than one ACT can work under a single </w:t>
      </w:r>
      <w:proofErr w:type="spellStart"/>
      <w:r w:rsidRPr="00F4129E">
        <w:t>HTCP</w:t>
      </w:r>
      <w:proofErr w:type="spellEnd"/>
      <w:r w:rsidRPr="00F4129E">
        <w:t>-certified technician.</w:t>
      </w:r>
    </w:p>
    <w:p w14:paraId="2049C840" w14:textId="77777777" w:rsidR="007062A8" w:rsidRPr="007062A8" w:rsidRDefault="007062A8" w:rsidP="00047260">
      <w:pPr>
        <w:pStyle w:val="wiTableBuffer"/>
      </w:pPr>
    </w:p>
    <w:p w14:paraId="0B32BD2C" w14:textId="77777777" w:rsidR="00631DFD" w:rsidRPr="00F4129E" w:rsidRDefault="00631DFD" w:rsidP="00631DFD">
      <w:pPr>
        <w:pStyle w:val="wiParagraph"/>
      </w:pPr>
      <w:r w:rsidRPr="00F4129E">
        <w:tab/>
      </w:r>
      <w:r w:rsidRPr="00F4129E">
        <w:rPr>
          <w:rStyle w:val="wiParagraphNumber"/>
        </w:rPr>
        <w:t>(3)</w:t>
      </w:r>
      <w:r w:rsidRPr="00F4129E">
        <w:tab/>
        <w:t xml:space="preserve">Have an </w:t>
      </w:r>
      <w:proofErr w:type="spellStart"/>
      <w:r w:rsidRPr="00F4129E">
        <w:t>HMA</w:t>
      </w:r>
      <w:proofErr w:type="spellEnd"/>
      <w:r w:rsidRPr="00F4129E">
        <w:t>-IPT technician ensure that sampling and testing is performed correctly, analyze test results, and post resulting data.</w:t>
      </w:r>
    </w:p>
    <w:p w14:paraId="34900120" w14:textId="77777777" w:rsidR="00631DFD" w:rsidRPr="00F4129E" w:rsidRDefault="00631DFD" w:rsidP="00631DFD">
      <w:pPr>
        <w:pStyle w:val="wiParagraph"/>
      </w:pPr>
      <w:r w:rsidRPr="00F4129E">
        <w:tab/>
      </w:r>
      <w:r w:rsidRPr="00F4129E">
        <w:rPr>
          <w:rStyle w:val="wiParagraphNumber"/>
        </w:rPr>
        <w:t>(4)</w:t>
      </w:r>
      <w:r w:rsidRPr="00F4129E">
        <w:tab/>
        <w:t xml:space="preserve">Have an </w:t>
      </w:r>
      <w:proofErr w:type="spellStart"/>
      <w:r w:rsidRPr="00F4129E">
        <w:t>HTCP</w:t>
      </w:r>
      <w:proofErr w:type="spellEnd"/>
      <w:r w:rsidRPr="00F4129E">
        <w:t>-certified Hot Mix Asphalt, Trouble Shooting, Process Control (</w:t>
      </w:r>
      <w:proofErr w:type="spellStart"/>
      <w:r w:rsidRPr="00F4129E">
        <w:t>HMA-TPC</w:t>
      </w:r>
      <w:proofErr w:type="spellEnd"/>
      <w:r w:rsidRPr="00F4129E">
        <w:t xml:space="preserve">) technician or </w:t>
      </w:r>
      <w:proofErr w:type="spellStart"/>
      <w:r w:rsidRPr="00F4129E">
        <w:t>HTCP</w:t>
      </w:r>
      <w:proofErr w:type="spellEnd"/>
      <w:r w:rsidRPr="00F4129E">
        <w:t>-certified Hot Mix Asphalt, Mix Design, Report Submittals (</w:t>
      </w:r>
      <w:proofErr w:type="spellStart"/>
      <w:r w:rsidRPr="00F4129E">
        <w:t>HMA</w:t>
      </w:r>
      <w:proofErr w:type="spellEnd"/>
      <w:r w:rsidRPr="00F4129E">
        <w:t>-MD) technician available to make necessary process adjustments.</w:t>
      </w:r>
    </w:p>
    <w:p w14:paraId="1387EEB0" w14:textId="77777777" w:rsidR="00631DFD" w:rsidRPr="00F4129E" w:rsidRDefault="00631DFD" w:rsidP="00631DFD">
      <w:pPr>
        <w:pStyle w:val="wiHeading5"/>
      </w:pPr>
      <w:proofErr w:type="gramStart"/>
      <w:r w:rsidRPr="00F4129E">
        <w:t>460.2.8.2.1.2  Laboratory</w:t>
      </w:r>
      <w:proofErr w:type="gramEnd"/>
      <w:r w:rsidRPr="00F4129E">
        <w:t xml:space="preserve"> Requirements</w:t>
      </w:r>
    </w:p>
    <w:p w14:paraId="60DC830B" w14:textId="77777777" w:rsidR="00631DFD" w:rsidRPr="00F4129E" w:rsidRDefault="00631DFD" w:rsidP="00631DFD">
      <w:pPr>
        <w:pStyle w:val="wiParagraph"/>
      </w:pPr>
      <w:r w:rsidRPr="00F4129E">
        <w:tab/>
      </w:r>
      <w:r w:rsidRPr="00F4129E">
        <w:rPr>
          <w:rStyle w:val="wiParagraphNumber"/>
        </w:rPr>
        <w:t>(1)</w:t>
      </w:r>
      <w:r w:rsidRPr="00F4129E">
        <w:tab/>
        <w:t>Conduct QC testing in a facility conforming to the department's laboratory qualification program.</w:t>
      </w:r>
    </w:p>
    <w:p w14:paraId="069C242D" w14:textId="77777777" w:rsidR="00631DFD" w:rsidRPr="00F4129E" w:rsidRDefault="00631DFD" w:rsidP="00631DFD">
      <w:pPr>
        <w:pStyle w:val="wiParagraph"/>
      </w:pPr>
      <w:r w:rsidRPr="00F4129E">
        <w:tab/>
      </w:r>
      <w:r w:rsidRPr="00F4129E">
        <w:rPr>
          <w:rStyle w:val="wiParagraphNumber"/>
        </w:rPr>
        <w:t>(2)</w:t>
      </w:r>
      <w:r w:rsidRPr="00F4129E">
        <w:tab/>
        <w:t>Ensure that testing equipment conforms to the equipment specifications applicable to the required testing methods.</w:t>
      </w:r>
    </w:p>
    <w:p w14:paraId="2F248A65" w14:textId="77777777" w:rsidR="00631DFD" w:rsidRPr="00F4129E" w:rsidRDefault="00631DFD" w:rsidP="00631DFD">
      <w:pPr>
        <w:pStyle w:val="wiHeading5"/>
      </w:pPr>
      <w:proofErr w:type="gramStart"/>
      <w:r w:rsidRPr="00F4129E">
        <w:t>460.2.8.2.1.3  Required</w:t>
      </w:r>
      <w:proofErr w:type="gramEnd"/>
      <w:r w:rsidRPr="00F4129E">
        <w:t xml:space="preserve"> Sampling and Testing</w:t>
      </w:r>
    </w:p>
    <w:p w14:paraId="27DE1970" w14:textId="40AB23A3" w:rsidR="00631DFD" w:rsidRDefault="00631DFD" w:rsidP="00631DFD">
      <w:pPr>
        <w:pStyle w:val="wiHeading6"/>
      </w:pPr>
      <w:proofErr w:type="gramStart"/>
      <w:r w:rsidRPr="00F4129E">
        <w:t>460.2.8.2.1.3.1  Contracts</w:t>
      </w:r>
      <w:proofErr w:type="gramEnd"/>
      <w:r w:rsidRPr="00F4129E">
        <w:t xml:space="preserve"> with 5000 Tons of Mixture or Greater</w:t>
      </w:r>
    </w:p>
    <w:p w14:paraId="3B3F7D6F" w14:textId="7B45BB9B" w:rsidR="00F85412" w:rsidRDefault="00F85412" w:rsidP="00F85412">
      <w:pPr>
        <w:pStyle w:val="wiAnnotation"/>
      </w:pPr>
      <w:proofErr w:type="gramStart"/>
      <w:r>
        <w:t>460.2.8.2.1.3.1  Add</w:t>
      </w:r>
      <w:proofErr w:type="gramEnd"/>
      <w:r>
        <w:t xml:space="preserve"> via ASP</w:t>
      </w:r>
      <w:r w:rsidR="00A74838">
        <w:t>-</w:t>
      </w:r>
      <w:r>
        <w:t xml:space="preserve">6 </w:t>
      </w:r>
      <w:r w:rsidR="00A74838">
        <w:t>with</w:t>
      </w:r>
      <w:r>
        <w:t xml:space="preserve"> November 2023 LET. Revise test methods for asphalt content (AC) in percent.</w:t>
      </w:r>
      <w:r w:rsidR="00427A0B">
        <w:t xml:space="preserve"> </w:t>
      </w:r>
    </w:p>
    <w:p w14:paraId="0E82A1E0" w14:textId="77777777" w:rsidR="00631DFD" w:rsidRPr="00F4129E" w:rsidRDefault="00631DFD" w:rsidP="00631DFD">
      <w:pPr>
        <w:pStyle w:val="wiParagraph"/>
      </w:pPr>
      <w:r w:rsidRPr="00F4129E">
        <w:tab/>
      </w:r>
      <w:r w:rsidRPr="00F4129E">
        <w:rPr>
          <w:rStyle w:val="wiParagraphNumber"/>
        </w:rPr>
        <w:t>(1)</w:t>
      </w:r>
      <w:r w:rsidRPr="00F4129E">
        <w:tab/>
        <w:t>Furnish and maintain a laboratory at the plant site fully equipped for performing contractor QC testing. Have the laboratory on-site and operational before beginning mixture production.</w:t>
      </w:r>
    </w:p>
    <w:p w14:paraId="4488CD17" w14:textId="77777777" w:rsidR="00631DFD" w:rsidRPr="00F4129E" w:rsidRDefault="00631DFD" w:rsidP="00631DFD">
      <w:pPr>
        <w:pStyle w:val="wiParagraph"/>
      </w:pPr>
      <w:r w:rsidRPr="00F4129E">
        <w:tab/>
      </w:r>
      <w:r w:rsidRPr="00F4129E">
        <w:rPr>
          <w:rStyle w:val="wiParagraphNumber"/>
        </w:rPr>
        <w:t>(2)</w:t>
      </w:r>
      <w:r w:rsidRPr="00F4129E">
        <w:tab/>
        <w:t xml:space="preserve">Obtain random samples and perform tests according to </w:t>
      </w:r>
      <w:proofErr w:type="spellStart"/>
      <w:r w:rsidRPr="00F4129E">
        <w:rPr>
          <w:rStyle w:val="wiLink"/>
        </w:rPr>
        <w:t>CMM</w:t>
      </w:r>
      <w:proofErr w:type="spellEnd"/>
      <w:r w:rsidRPr="00F4129E">
        <w:rPr>
          <w:rStyle w:val="wiLink"/>
        </w:rPr>
        <w:t xml:space="preserve"> 836</w:t>
      </w:r>
      <w:r w:rsidRPr="00F4129E">
        <w:t xml:space="preserve">. Obtain </w:t>
      </w:r>
      <w:proofErr w:type="spellStart"/>
      <w:r w:rsidRPr="00F4129E">
        <w:t>HMA</w:t>
      </w:r>
      <w:proofErr w:type="spellEnd"/>
      <w:r w:rsidRPr="00F4129E">
        <w:t xml:space="preserve"> mixture samples from trucks at the plant. Perform tests the same day taking the sample.</w:t>
      </w:r>
    </w:p>
    <w:p w14:paraId="4F30C678" w14:textId="77777777" w:rsidR="00631DFD" w:rsidRPr="00F4129E" w:rsidRDefault="00631DFD" w:rsidP="00631DFD">
      <w:pPr>
        <w:pStyle w:val="wiParagraph"/>
      </w:pPr>
      <w:r w:rsidRPr="00F4129E">
        <w:tab/>
      </w:r>
      <w:r w:rsidRPr="00F4129E">
        <w:rPr>
          <w:rStyle w:val="wiParagraphNumber"/>
        </w:rPr>
        <w:t>(3)</w:t>
      </w:r>
      <w:r w:rsidRPr="00F4129E">
        <w:tab/>
        <w:t xml:space="preserve">Retain the split portion of the contractor </w:t>
      </w:r>
      <w:proofErr w:type="spellStart"/>
      <w:r w:rsidRPr="00F4129E">
        <w:t>HMA</w:t>
      </w:r>
      <w:proofErr w:type="spellEnd"/>
      <w:r w:rsidRPr="00F4129E">
        <w:t xml:space="preserve"> mixture and blended aggregate samples for 14 calendar days at the laboratory site in a dry, protected area. The engineer may decrease this 14-day retention period. At contract completion the contractor may dispose of remaining samples if the engineer approves.</w:t>
      </w:r>
    </w:p>
    <w:p w14:paraId="1D3ABEA4" w14:textId="77777777" w:rsidR="00631DFD" w:rsidRPr="00F4129E" w:rsidRDefault="00631DFD" w:rsidP="00631DFD">
      <w:pPr>
        <w:pStyle w:val="wiParagraph"/>
      </w:pPr>
      <w:r w:rsidRPr="00F4129E">
        <w:tab/>
      </w:r>
      <w:r w:rsidRPr="00F4129E">
        <w:rPr>
          <w:rStyle w:val="wiParagraphNumber"/>
        </w:rPr>
        <w:t>(4)</w:t>
      </w:r>
      <w:r w:rsidRPr="00F4129E">
        <w:tab/>
        <w:t>Use the test methods identified below, or other methods the engineer approves, to perform the following tests at the frequency indicated:</w:t>
      </w:r>
    </w:p>
    <w:p w14:paraId="71B05345" w14:textId="77777777" w:rsidR="00631DFD" w:rsidRPr="00F4129E" w:rsidRDefault="00631DFD" w:rsidP="00631DFD">
      <w:pPr>
        <w:pStyle w:val="wiParagraphIndent"/>
      </w:pPr>
      <w:r w:rsidRPr="00F4129E">
        <w:t>Blended aggregate gradations:</w:t>
      </w:r>
    </w:p>
    <w:p w14:paraId="14777907" w14:textId="77777777" w:rsidR="00631DFD" w:rsidRPr="00F4129E" w:rsidRDefault="00631DFD" w:rsidP="00631DFD">
      <w:pPr>
        <w:pStyle w:val="wiUndefined9pt"/>
        <w:ind w:left="864"/>
      </w:pPr>
      <w:r w:rsidRPr="00F4129E">
        <w:rPr>
          <w:rFonts w:cs="Arial"/>
        </w:rPr>
        <w:t>Drum plants:</w:t>
      </w:r>
    </w:p>
    <w:p w14:paraId="466AB7DE" w14:textId="0E587900" w:rsidR="00631DFD" w:rsidRPr="000E515B" w:rsidRDefault="00631DFD" w:rsidP="00631DFD">
      <w:pPr>
        <w:pStyle w:val="wiUndefined9pt"/>
        <w:ind w:left="1440" w:hanging="288"/>
      </w:pPr>
      <w:r w:rsidRPr="00F4129E">
        <w:rPr>
          <w:rFonts w:cs="Arial"/>
        </w:rPr>
        <w:t>-</w:t>
      </w:r>
      <w:r w:rsidRPr="00F4129E">
        <w:tab/>
      </w:r>
      <w:r w:rsidRPr="00F4129E">
        <w:rPr>
          <w:rFonts w:cs="Arial"/>
        </w:rPr>
        <w:t>Field extraction by ignition oven according t</w:t>
      </w:r>
      <w:r w:rsidRPr="000E515B">
        <w:rPr>
          <w:rFonts w:cs="Arial"/>
        </w:rPr>
        <w:t xml:space="preserve">o </w:t>
      </w:r>
      <w:r w:rsidR="00AD7E56" w:rsidRPr="002664E9">
        <w:rPr>
          <w:rStyle w:val="wiLink"/>
        </w:rPr>
        <w:t>W</w:t>
      </w:r>
      <w:r w:rsidRPr="002664E9">
        <w:rPr>
          <w:rStyle w:val="wiLink"/>
        </w:rPr>
        <w:t>T</w:t>
      </w:r>
      <w:r w:rsidR="00AD7E56" w:rsidRPr="002664E9">
        <w:rPr>
          <w:rStyle w:val="wiLink"/>
        </w:rPr>
        <w:t>M</w:t>
      </w:r>
      <w:r w:rsidRPr="002664E9">
        <w:rPr>
          <w:rStyle w:val="wiLink"/>
        </w:rPr>
        <w:t xml:space="preserve"> T308</w:t>
      </w:r>
      <w:r w:rsidRPr="000E515B">
        <w:t xml:space="preserve">, </w:t>
      </w:r>
      <w:r w:rsidRPr="000E515B">
        <w:rPr>
          <w:rFonts w:cs="Arial"/>
        </w:rPr>
        <w:t xml:space="preserve">chemical extraction according to </w:t>
      </w:r>
      <w:r w:rsidRPr="00537A40">
        <w:rPr>
          <w:rStyle w:val="wiLink"/>
        </w:rPr>
        <w:t>AASHTO T-164</w:t>
      </w:r>
      <w:r w:rsidRPr="000E515B">
        <w:rPr>
          <w:rFonts w:cs="Arial"/>
        </w:rPr>
        <w:t xml:space="preserve"> method A or B; or automated extraction according t</w:t>
      </w:r>
      <w:r w:rsidR="00AD7E56" w:rsidRPr="000E515B">
        <w:rPr>
          <w:rFonts w:cs="Arial"/>
        </w:rPr>
        <w:t xml:space="preserve">o </w:t>
      </w:r>
      <w:r w:rsidR="00AD7E56" w:rsidRPr="002664E9">
        <w:rPr>
          <w:rStyle w:val="wiLink"/>
        </w:rPr>
        <w:t>WTM D8159</w:t>
      </w:r>
      <w:r w:rsidRPr="000E515B">
        <w:t>. G</w:t>
      </w:r>
      <w:r w:rsidRPr="000E515B">
        <w:rPr>
          <w:rFonts w:cs="Arial"/>
        </w:rPr>
        <w:t xml:space="preserve">radation of resulting aggregate sample determined according to </w:t>
      </w:r>
      <w:r w:rsidR="00AD7E56" w:rsidRPr="002664E9">
        <w:rPr>
          <w:rStyle w:val="wiLink"/>
        </w:rPr>
        <w:t>WTM</w:t>
      </w:r>
      <w:r w:rsidRPr="002664E9">
        <w:rPr>
          <w:rStyle w:val="wiLink"/>
        </w:rPr>
        <w:t xml:space="preserve"> T30</w:t>
      </w:r>
      <w:r w:rsidRPr="000E515B">
        <w:rPr>
          <w:rFonts w:cs="Arial"/>
        </w:rPr>
        <w:t>.</w:t>
      </w:r>
    </w:p>
    <w:p w14:paraId="071C8D94" w14:textId="73477DC3" w:rsidR="00631DFD" w:rsidRPr="000E515B" w:rsidRDefault="00631DFD" w:rsidP="00631DFD">
      <w:pPr>
        <w:pStyle w:val="wiUndefined9pt"/>
        <w:ind w:left="1440" w:hanging="288"/>
      </w:pPr>
      <w:r w:rsidRPr="000E515B">
        <w:rPr>
          <w:rFonts w:cs="Arial"/>
        </w:rPr>
        <w:t>-</w:t>
      </w:r>
      <w:r w:rsidRPr="000E515B">
        <w:tab/>
      </w:r>
      <w:r w:rsidRPr="000E515B">
        <w:rPr>
          <w:rFonts w:cs="Arial"/>
        </w:rPr>
        <w:t xml:space="preserve">Belt samples, optional for virgin mixtures, obtained from stopped belt or from the belt discharge using an engineer-approved sampling device and performed according to </w:t>
      </w:r>
      <w:r w:rsidR="00AD7E56" w:rsidRPr="002664E9">
        <w:rPr>
          <w:rStyle w:val="wiLink"/>
        </w:rPr>
        <w:t>WTM</w:t>
      </w:r>
      <w:r w:rsidRPr="002664E9">
        <w:rPr>
          <w:rStyle w:val="wiLink"/>
        </w:rPr>
        <w:t xml:space="preserve"> T11</w:t>
      </w:r>
      <w:r w:rsidRPr="000E515B">
        <w:rPr>
          <w:rFonts w:cs="Arial"/>
        </w:rPr>
        <w:t xml:space="preserve"> and T27.</w:t>
      </w:r>
    </w:p>
    <w:p w14:paraId="6D7016A4" w14:textId="77777777" w:rsidR="00631DFD" w:rsidRPr="000E515B" w:rsidRDefault="00631DFD" w:rsidP="00631DFD">
      <w:pPr>
        <w:pStyle w:val="wiUndefined9pt"/>
        <w:ind w:left="864"/>
      </w:pPr>
      <w:r w:rsidRPr="000E515B">
        <w:rPr>
          <w:rFonts w:cs="Arial"/>
        </w:rPr>
        <w:t>Batch plants:</w:t>
      </w:r>
    </w:p>
    <w:p w14:paraId="00219468" w14:textId="23B9DBE7" w:rsidR="00631DFD" w:rsidRDefault="00631DFD" w:rsidP="00631DFD">
      <w:pPr>
        <w:pStyle w:val="wiUndefined9pt"/>
        <w:ind w:left="1440" w:hanging="288"/>
        <w:rPr>
          <w:rFonts w:cs="Arial"/>
        </w:rPr>
      </w:pPr>
      <w:r w:rsidRPr="000E515B">
        <w:rPr>
          <w:rFonts w:cs="Arial"/>
        </w:rPr>
        <w:lastRenderedPageBreak/>
        <w:t>-</w:t>
      </w:r>
      <w:r w:rsidRPr="000E515B">
        <w:tab/>
      </w:r>
      <w:r w:rsidRPr="000E515B">
        <w:rPr>
          <w:rFonts w:cs="Arial"/>
        </w:rPr>
        <w:t xml:space="preserve">Field extraction by ignition oven according to </w:t>
      </w:r>
      <w:r w:rsidR="00AD7E56" w:rsidRPr="000E515B">
        <w:rPr>
          <w:rFonts w:cs="Arial"/>
        </w:rPr>
        <w:t>WTM</w:t>
      </w:r>
      <w:r w:rsidRPr="000E515B">
        <w:rPr>
          <w:rFonts w:cs="Arial"/>
        </w:rPr>
        <w:t xml:space="preserve"> T308</w:t>
      </w:r>
      <w:r w:rsidRPr="000E515B">
        <w:t xml:space="preserve">, </w:t>
      </w:r>
      <w:r w:rsidRPr="000E515B">
        <w:rPr>
          <w:rFonts w:cs="Arial"/>
        </w:rPr>
        <w:t xml:space="preserve">chemical extraction according to AASHTO T-164 method A or B; or automated extraction according </w:t>
      </w:r>
      <w:r w:rsidRPr="000E515B">
        <w:t>to</w:t>
      </w:r>
      <w:r w:rsidR="00AD7E56" w:rsidRPr="000E515B">
        <w:t xml:space="preserve"> WTM</w:t>
      </w:r>
      <w:r w:rsidRPr="000E515B">
        <w:t xml:space="preserve"> D8159. </w:t>
      </w:r>
      <w:r w:rsidRPr="000E515B">
        <w:rPr>
          <w:rFonts w:cs="Arial"/>
        </w:rPr>
        <w:t xml:space="preserve">Gradation of resulting aggregate sample determined according to </w:t>
      </w:r>
      <w:r w:rsidR="00AD7E56" w:rsidRPr="000E515B">
        <w:rPr>
          <w:rFonts w:cs="Arial"/>
        </w:rPr>
        <w:t>W</w:t>
      </w:r>
      <w:r w:rsidRPr="000E515B">
        <w:rPr>
          <w:rFonts w:cs="Arial"/>
        </w:rPr>
        <w:t>T</w:t>
      </w:r>
      <w:r w:rsidR="00AD7E56" w:rsidRPr="000E515B">
        <w:rPr>
          <w:rFonts w:cs="Arial"/>
        </w:rPr>
        <w:t>M</w:t>
      </w:r>
      <w:r w:rsidRPr="000E515B">
        <w:rPr>
          <w:rFonts w:cs="Arial"/>
        </w:rPr>
        <w:t xml:space="preserve"> T30.</w:t>
      </w:r>
    </w:p>
    <w:p w14:paraId="234712F4" w14:textId="77777777" w:rsidR="00631DFD" w:rsidRPr="00F4129E" w:rsidRDefault="00631DFD" w:rsidP="00631DFD">
      <w:pPr>
        <w:pStyle w:val="wiParagraphIndent"/>
      </w:pPr>
      <w:r w:rsidRPr="00F4129E">
        <w:t>Asphalt content (AC) in percent:</w:t>
      </w:r>
    </w:p>
    <w:p w14:paraId="7A3A9947" w14:textId="77777777" w:rsidR="00353AFC" w:rsidRPr="000E515B" w:rsidRDefault="00353AFC" w:rsidP="00353AFC">
      <w:pPr>
        <w:pStyle w:val="wiUndefined9pt"/>
        <w:ind w:left="864"/>
        <w:rPr>
          <w:rFonts w:cs="Arial"/>
        </w:rPr>
      </w:pPr>
      <w:r w:rsidRPr="000E515B">
        <w:rPr>
          <w:rFonts w:cs="Arial"/>
        </w:rPr>
        <w:t>Determine AC using one of the following methods:</w:t>
      </w:r>
    </w:p>
    <w:p w14:paraId="35172B22" w14:textId="3EAEF107" w:rsidR="00353AFC" w:rsidRPr="000E515B" w:rsidRDefault="00353AFC" w:rsidP="00353AFC">
      <w:pPr>
        <w:pStyle w:val="wiUndefined9pt"/>
        <w:numPr>
          <w:ilvl w:val="0"/>
          <w:numId w:val="31"/>
        </w:numPr>
        <w:ind w:left="1440" w:hanging="216"/>
        <w:rPr>
          <w:rFonts w:cs="Arial"/>
        </w:rPr>
      </w:pPr>
      <w:r w:rsidRPr="000E515B">
        <w:rPr>
          <w:rFonts w:cs="Arial"/>
        </w:rPr>
        <w:t xml:space="preserve">AC by ignition oven according to </w:t>
      </w:r>
      <w:r w:rsidR="00226724" w:rsidRPr="000E515B">
        <w:rPr>
          <w:rFonts w:cs="Arial"/>
        </w:rPr>
        <w:t>WTM</w:t>
      </w:r>
      <w:r w:rsidRPr="000E515B">
        <w:rPr>
          <w:rFonts w:cs="Arial"/>
        </w:rPr>
        <w:t xml:space="preserve"> T308</w:t>
      </w:r>
      <w:r w:rsidRPr="000E515B">
        <w:t>.</w:t>
      </w:r>
    </w:p>
    <w:p w14:paraId="54DE9862" w14:textId="77777777" w:rsidR="00353AFC" w:rsidRPr="000E515B" w:rsidRDefault="00353AFC" w:rsidP="00353AFC">
      <w:pPr>
        <w:pStyle w:val="wiUndefined9pt"/>
        <w:numPr>
          <w:ilvl w:val="0"/>
          <w:numId w:val="31"/>
        </w:numPr>
        <w:ind w:left="1440" w:hanging="216"/>
        <w:rPr>
          <w:rFonts w:cs="Arial"/>
        </w:rPr>
      </w:pPr>
      <w:r w:rsidRPr="000E515B">
        <w:rPr>
          <w:rFonts w:cs="Arial"/>
        </w:rPr>
        <w:t xml:space="preserve">AC by chemical extraction according to </w:t>
      </w:r>
      <w:r w:rsidRPr="002664E9">
        <w:rPr>
          <w:rStyle w:val="wiLink"/>
        </w:rPr>
        <w:t>AASHTO T-164</w:t>
      </w:r>
      <w:r w:rsidRPr="000E515B">
        <w:rPr>
          <w:rFonts w:cs="Arial"/>
        </w:rPr>
        <w:t xml:space="preserve"> method A or B.</w:t>
      </w:r>
    </w:p>
    <w:p w14:paraId="2500D694" w14:textId="0EA40B08" w:rsidR="00F85412" w:rsidRDefault="00353AFC" w:rsidP="00353AFC">
      <w:pPr>
        <w:pStyle w:val="wiUndefined9pt"/>
        <w:numPr>
          <w:ilvl w:val="0"/>
          <w:numId w:val="31"/>
        </w:numPr>
        <w:ind w:left="1440" w:hanging="216"/>
        <w:rPr>
          <w:rFonts w:cs="Arial"/>
        </w:rPr>
      </w:pPr>
      <w:r w:rsidRPr="000E515B">
        <w:rPr>
          <w:rFonts w:cs="Arial"/>
        </w:rPr>
        <w:t xml:space="preserve">AC by automated extraction according to </w:t>
      </w:r>
      <w:r w:rsidR="00DE63FE" w:rsidRPr="000E515B">
        <w:t>WTM</w:t>
      </w:r>
      <w:r w:rsidRPr="000E515B">
        <w:t xml:space="preserve"> D8159.</w:t>
      </w:r>
    </w:p>
    <w:p w14:paraId="7C350384" w14:textId="552D133F" w:rsidR="00F85412" w:rsidRPr="002664E9" w:rsidRDefault="00F85412" w:rsidP="00353AFC">
      <w:pPr>
        <w:pStyle w:val="wiUndefined9pt"/>
        <w:numPr>
          <w:ilvl w:val="0"/>
          <w:numId w:val="31"/>
        </w:numPr>
        <w:ind w:left="1440" w:hanging="216"/>
        <w:rPr>
          <w:rFonts w:cs="Arial"/>
          <w:highlight w:val="green"/>
        </w:rPr>
      </w:pPr>
      <w:r w:rsidRPr="002664E9">
        <w:rPr>
          <w:rFonts w:cs="Arial"/>
          <w:highlight w:val="green"/>
        </w:rPr>
        <w:t xml:space="preserve">If the department is using an ignition oven to determine AC, conform to </w:t>
      </w:r>
      <w:r w:rsidRPr="002664E9">
        <w:rPr>
          <w:rStyle w:val="wiLink"/>
          <w:highlight w:val="green"/>
        </w:rPr>
        <w:t>WTP H003</w:t>
      </w:r>
      <w:r w:rsidRPr="002664E9">
        <w:rPr>
          <w:rFonts w:cs="Arial"/>
          <w:highlight w:val="green"/>
        </w:rPr>
        <w:t>.</w:t>
      </w:r>
    </w:p>
    <w:p w14:paraId="3D482F1B" w14:textId="4647F1E5" w:rsidR="00F85412" w:rsidRPr="002664E9" w:rsidRDefault="00F85412" w:rsidP="00353AFC">
      <w:pPr>
        <w:pStyle w:val="wiUndefined9pt"/>
        <w:numPr>
          <w:ilvl w:val="0"/>
          <w:numId w:val="31"/>
        </w:numPr>
        <w:ind w:left="1440" w:hanging="216"/>
        <w:rPr>
          <w:rFonts w:cs="Arial"/>
          <w:highlight w:val="green"/>
        </w:rPr>
      </w:pPr>
      <w:r w:rsidRPr="002664E9">
        <w:rPr>
          <w:rFonts w:cs="Arial"/>
          <w:highlight w:val="green"/>
        </w:rPr>
        <w:t>If the department is not using an ignition oven to determine AC, ignition oven correction factor (</w:t>
      </w:r>
      <w:proofErr w:type="spellStart"/>
      <w:r w:rsidRPr="002664E9">
        <w:rPr>
          <w:rFonts w:cs="Arial"/>
          <w:highlight w:val="green"/>
        </w:rPr>
        <w:t>IOCF</w:t>
      </w:r>
      <w:proofErr w:type="spellEnd"/>
      <w:r w:rsidRPr="002664E9">
        <w:rPr>
          <w:rFonts w:cs="Arial"/>
          <w:highlight w:val="green"/>
        </w:rPr>
        <w:t>) must still be reverified for any of the reasons listed in WTP H003 Table 2 and conform to WTP H-003 sections 3 through 6.</w:t>
      </w:r>
    </w:p>
    <w:p w14:paraId="7A88CA0E" w14:textId="1AD62973" w:rsidR="00353AFC" w:rsidRPr="000E515B" w:rsidRDefault="00353AFC" w:rsidP="00353AFC">
      <w:pPr>
        <w:pStyle w:val="wiUndefined9pt"/>
        <w:numPr>
          <w:ilvl w:val="0"/>
          <w:numId w:val="31"/>
        </w:numPr>
        <w:ind w:left="1440" w:hanging="216"/>
        <w:rPr>
          <w:rFonts w:cs="Arial"/>
        </w:rPr>
      </w:pPr>
      <w:r w:rsidRPr="000E515B">
        <w:rPr>
          <w:rFonts w:cs="Arial"/>
        </w:rPr>
        <w:t xml:space="preserve">Gradation of resulting aggregate sample determined according to </w:t>
      </w:r>
      <w:r w:rsidR="00DE63FE" w:rsidRPr="000E515B">
        <w:rPr>
          <w:rFonts w:cs="Arial"/>
        </w:rPr>
        <w:t>WTM</w:t>
      </w:r>
      <w:r w:rsidRPr="000E515B">
        <w:rPr>
          <w:rFonts w:cs="Arial"/>
        </w:rPr>
        <w:t xml:space="preserve"> T30.</w:t>
      </w:r>
    </w:p>
    <w:p w14:paraId="688D2DC5" w14:textId="77777777" w:rsidR="00631DFD" w:rsidRPr="000E515B" w:rsidRDefault="00631DFD" w:rsidP="00631DFD">
      <w:pPr>
        <w:pStyle w:val="wiParagraphIndent"/>
      </w:pPr>
      <w:r w:rsidRPr="000E515B">
        <w:t>Bulk specific gravity of the compacted mixture:</w:t>
      </w:r>
    </w:p>
    <w:p w14:paraId="0B21C48C" w14:textId="3DB9BB20" w:rsidR="00631DFD" w:rsidRPr="000E515B" w:rsidRDefault="00631DFD" w:rsidP="00631DFD">
      <w:pPr>
        <w:pStyle w:val="wiUndefined9pt"/>
        <w:ind w:left="864"/>
      </w:pPr>
      <w:r w:rsidRPr="000E515B">
        <w:rPr>
          <w:rFonts w:cs="Arial"/>
        </w:rPr>
        <w:t xml:space="preserve">According to </w:t>
      </w:r>
      <w:r w:rsidR="001F2A37" w:rsidRPr="002664E9">
        <w:rPr>
          <w:rStyle w:val="wiLink"/>
        </w:rPr>
        <w:t>WTM</w:t>
      </w:r>
      <w:r w:rsidRPr="002664E9">
        <w:rPr>
          <w:rStyle w:val="wiLink"/>
        </w:rPr>
        <w:t xml:space="preserve"> T166</w:t>
      </w:r>
      <w:r w:rsidRPr="000E515B">
        <w:t>.</w:t>
      </w:r>
    </w:p>
    <w:p w14:paraId="297DEA81" w14:textId="77777777" w:rsidR="00631DFD" w:rsidRPr="000E515B" w:rsidRDefault="00631DFD" w:rsidP="00631DFD">
      <w:pPr>
        <w:pStyle w:val="wiParagraphIndent"/>
      </w:pPr>
      <w:r w:rsidRPr="000E515B">
        <w:t>Theoretical maximum specific gravity:</w:t>
      </w:r>
    </w:p>
    <w:p w14:paraId="5E9A20D1" w14:textId="7DF19756" w:rsidR="00631DFD" w:rsidRPr="000E515B" w:rsidRDefault="00631DFD" w:rsidP="00631DFD">
      <w:pPr>
        <w:pStyle w:val="wiUndefined9pt"/>
        <w:ind w:left="864"/>
      </w:pPr>
      <w:r w:rsidRPr="000E515B">
        <w:rPr>
          <w:rFonts w:cs="Arial"/>
        </w:rPr>
        <w:t xml:space="preserve">According to </w:t>
      </w:r>
      <w:r w:rsidR="001F2A37" w:rsidRPr="002664E9">
        <w:rPr>
          <w:rStyle w:val="wiLink"/>
        </w:rPr>
        <w:t>WTM</w:t>
      </w:r>
      <w:r w:rsidRPr="002664E9">
        <w:rPr>
          <w:rStyle w:val="wiLink"/>
        </w:rPr>
        <w:t xml:space="preserve"> T209</w:t>
      </w:r>
      <w:r w:rsidRPr="000E515B">
        <w:t>.</w:t>
      </w:r>
    </w:p>
    <w:p w14:paraId="59E9D67A" w14:textId="1D1C2AAA" w:rsidR="00631DFD" w:rsidRPr="000E515B" w:rsidRDefault="00631DFD" w:rsidP="00631DFD">
      <w:pPr>
        <w:pStyle w:val="wiParagraphIndent"/>
      </w:pPr>
      <w:r w:rsidRPr="000E515B">
        <w:t>Air voids (</w:t>
      </w:r>
      <w:proofErr w:type="spellStart"/>
      <w:r w:rsidRPr="000E515B">
        <w:t>Va</w:t>
      </w:r>
      <w:proofErr w:type="spellEnd"/>
      <w:r w:rsidRPr="000E515B">
        <w:t xml:space="preserve">) by calculation according to </w:t>
      </w:r>
      <w:r w:rsidR="001F2A37" w:rsidRPr="002664E9">
        <w:rPr>
          <w:rStyle w:val="wiLink"/>
        </w:rPr>
        <w:t>WTM</w:t>
      </w:r>
      <w:r w:rsidRPr="002664E9">
        <w:rPr>
          <w:rStyle w:val="wiLink"/>
        </w:rPr>
        <w:t xml:space="preserve"> T269</w:t>
      </w:r>
      <w:r w:rsidRPr="000E515B">
        <w:t>.</w:t>
      </w:r>
    </w:p>
    <w:p w14:paraId="7AD5FD61" w14:textId="46B57797" w:rsidR="00631DFD" w:rsidRPr="00F4129E" w:rsidRDefault="00631DFD" w:rsidP="00631DFD">
      <w:pPr>
        <w:pStyle w:val="wiParagraphIndent"/>
      </w:pPr>
      <w:r w:rsidRPr="000E515B">
        <w:t xml:space="preserve">VMA by calculation according to </w:t>
      </w:r>
      <w:r w:rsidR="001F2A37" w:rsidRPr="002664E9">
        <w:rPr>
          <w:rStyle w:val="wiLink"/>
        </w:rPr>
        <w:t>WTM</w:t>
      </w:r>
      <w:r w:rsidRPr="002664E9">
        <w:rPr>
          <w:rStyle w:val="wiLink"/>
        </w:rPr>
        <w:t xml:space="preserve"> R35</w:t>
      </w:r>
      <w:r w:rsidRPr="000E515B">
        <w:t>.</w:t>
      </w:r>
    </w:p>
    <w:p w14:paraId="7E666420" w14:textId="77777777" w:rsidR="00631DFD" w:rsidRPr="00F4129E" w:rsidRDefault="00631DFD" w:rsidP="00631DFD">
      <w:pPr>
        <w:pStyle w:val="wiParagraph"/>
      </w:pPr>
      <w:r w:rsidRPr="00F4129E">
        <w:tab/>
      </w:r>
      <w:r w:rsidRPr="00F4129E">
        <w:rPr>
          <w:rStyle w:val="wiParagraphNumber"/>
        </w:rPr>
        <w:t>(5)</w:t>
      </w:r>
      <w:r w:rsidRPr="00F4129E">
        <w:tab/>
        <w:t>Test each design mixture at the following frequency:</w:t>
      </w:r>
    </w:p>
    <w:p w14:paraId="391C236D" w14:textId="7D22854D" w:rsidR="00631DFD" w:rsidRPr="00052A5F" w:rsidRDefault="00631DFD" w:rsidP="00631DFD">
      <w:pPr>
        <w:pStyle w:val="wiTable2Col"/>
        <w:rPr>
          <w:u w:val="single"/>
        </w:rPr>
      </w:pPr>
      <w:r w:rsidRPr="00F4129E">
        <w:tab/>
      </w:r>
      <w:r w:rsidRPr="00052A5F">
        <w:rPr>
          <w:u w:val="single"/>
        </w:rPr>
        <w:t>TOTAL DAILY PLANT PRODUCTION</w:t>
      </w:r>
    </w:p>
    <w:p w14:paraId="0787D38F" w14:textId="77777777" w:rsidR="00631DFD" w:rsidRPr="00F4129E" w:rsidRDefault="00631DFD" w:rsidP="00631DFD">
      <w:pPr>
        <w:pStyle w:val="wiTable2Col"/>
      </w:pPr>
      <w:r w:rsidRPr="00F4129E">
        <w:tab/>
      </w:r>
      <w:r w:rsidRPr="00052A5F">
        <w:rPr>
          <w:u w:val="single"/>
        </w:rPr>
        <w:t>FOR DEPARTMENT CONTRACTS</w:t>
      </w:r>
      <w:r w:rsidRPr="00F4129E">
        <w:tab/>
      </w:r>
      <w:r w:rsidRPr="00052A5F">
        <w:rPr>
          <w:u w:val="single"/>
        </w:rPr>
        <w:t>SAMPLES</w:t>
      </w:r>
    </w:p>
    <w:p w14:paraId="00CBC8F4" w14:textId="77F9F19E" w:rsidR="00631DFD" w:rsidRPr="00F4129E" w:rsidRDefault="00631DFD" w:rsidP="00631DFD">
      <w:pPr>
        <w:pStyle w:val="wiTable2Col"/>
      </w:pPr>
      <w:r w:rsidRPr="00F4129E">
        <w:tab/>
      </w:r>
      <w:r w:rsidR="00052A5F">
        <w:t>(</w:t>
      </w:r>
      <w:r w:rsidRPr="00052A5F">
        <w:rPr>
          <w:u w:val="single"/>
        </w:rPr>
        <w:t>in tons</w:t>
      </w:r>
      <w:r w:rsidR="00052A5F">
        <w:rPr>
          <w:u w:val="single"/>
        </w:rPr>
        <w:t>)</w:t>
      </w:r>
      <w:r w:rsidRPr="00F4129E">
        <w:tab/>
      </w:r>
      <w:r w:rsidRPr="00052A5F">
        <w:rPr>
          <w:u w:val="single"/>
        </w:rPr>
        <w:t xml:space="preserve">PER </w:t>
      </w:r>
      <w:proofErr w:type="gramStart"/>
      <w:r w:rsidRPr="00052A5F">
        <w:rPr>
          <w:u w:val="single"/>
        </w:rPr>
        <w:t>DAY</w:t>
      </w:r>
      <w:r w:rsidRPr="00052A5F">
        <w:rPr>
          <w:i/>
          <w:u w:val="single"/>
          <w:vertAlign w:val="superscript"/>
        </w:rPr>
        <w:t>[</w:t>
      </w:r>
      <w:proofErr w:type="gramEnd"/>
      <w:r w:rsidRPr="00052A5F">
        <w:rPr>
          <w:i/>
          <w:u w:val="single"/>
          <w:vertAlign w:val="superscript"/>
        </w:rPr>
        <w:t>1]</w:t>
      </w:r>
    </w:p>
    <w:p w14:paraId="24E8EE5E" w14:textId="77777777" w:rsidR="00631DFD" w:rsidRPr="00F4129E" w:rsidRDefault="00631DFD" w:rsidP="00631DFD">
      <w:pPr>
        <w:pStyle w:val="wiTable2Col"/>
      </w:pPr>
      <w:r w:rsidRPr="00F4129E">
        <w:tab/>
        <w:t>50 to 600</w:t>
      </w:r>
      <w:r w:rsidRPr="00F4129E">
        <w:tab/>
        <w:t>1</w:t>
      </w:r>
    </w:p>
    <w:p w14:paraId="170D48B2" w14:textId="77777777" w:rsidR="00631DFD" w:rsidRPr="00F4129E" w:rsidRDefault="00631DFD" w:rsidP="00631DFD">
      <w:pPr>
        <w:pStyle w:val="wiTable2Col"/>
      </w:pPr>
      <w:r w:rsidRPr="00F4129E">
        <w:tab/>
        <w:t>601 to 1500</w:t>
      </w:r>
      <w:r w:rsidRPr="00F4129E">
        <w:tab/>
        <w:t>2</w:t>
      </w:r>
    </w:p>
    <w:p w14:paraId="73AA8AA6" w14:textId="77777777" w:rsidR="00631DFD" w:rsidRPr="00F4129E" w:rsidRDefault="00631DFD" w:rsidP="00631DFD">
      <w:pPr>
        <w:pStyle w:val="wiTable2Col"/>
      </w:pPr>
      <w:r w:rsidRPr="00F4129E">
        <w:tab/>
        <w:t>1501 to 2700</w:t>
      </w:r>
      <w:r w:rsidRPr="00F4129E">
        <w:tab/>
        <w:t>3</w:t>
      </w:r>
    </w:p>
    <w:p w14:paraId="7095EA6A" w14:textId="77777777" w:rsidR="00631DFD" w:rsidRPr="00F4129E" w:rsidRDefault="00631DFD" w:rsidP="00631DFD">
      <w:pPr>
        <w:pStyle w:val="wiTable2Col"/>
      </w:pPr>
      <w:r w:rsidRPr="00F4129E">
        <w:tab/>
        <w:t>2701 to 4200</w:t>
      </w:r>
      <w:r w:rsidRPr="00F4129E">
        <w:tab/>
        <w:t>4</w:t>
      </w:r>
    </w:p>
    <w:p w14:paraId="424EE084" w14:textId="77777777" w:rsidR="00631DFD" w:rsidRPr="00F4129E" w:rsidRDefault="00631DFD" w:rsidP="00631DFD">
      <w:pPr>
        <w:pStyle w:val="wiTable2Col"/>
      </w:pPr>
      <w:r w:rsidRPr="00F4129E">
        <w:tab/>
        <w:t>greater than 4200</w:t>
      </w:r>
      <w:r w:rsidRPr="00F4129E">
        <w:tab/>
        <w:t xml:space="preserve">see </w:t>
      </w:r>
      <w:proofErr w:type="gramStart"/>
      <w:r w:rsidRPr="00F4129E">
        <w:t>footnote</w:t>
      </w:r>
      <w:r w:rsidRPr="00F4129E">
        <w:rPr>
          <w:i/>
          <w:vertAlign w:val="superscript"/>
        </w:rPr>
        <w:t>[</w:t>
      </w:r>
      <w:proofErr w:type="gramEnd"/>
      <w:r w:rsidRPr="00F4129E">
        <w:rPr>
          <w:i/>
          <w:vertAlign w:val="superscript"/>
        </w:rPr>
        <w:t>2]</w:t>
      </w:r>
    </w:p>
    <w:p w14:paraId="04BECFFA" w14:textId="77777777" w:rsidR="00047260" w:rsidRDefault="00047260" w:rsidP="00047260">
      <w:pPr>
        <w:pStyle w:val="wiTableBuffer"/>
      </w:pPr>
    </w:p>
    <w:p w14:paraId="6707F31B" w14:textId="41521365" w:rsidR="00631DFD" w:rsidRPr="00F4129E" w:rsidRDefault="00631DFD" w:rsidP="00631DFD">
      <w:pPr>
        <w:pStyle w:val="wiFootnote"/>
      </w:pPr>
      <w:r w:rsidRPr="00F4129E">
        <w:tab/>
      </w:r>
      <w:r w:rsidRPr="00F4129E">
        <w:rPr>
          <w:i/>
          <w:vertAlign w:val="superscript"/>
        </w:rPr>
        <w:t>[1]</w:t>
      </w:r>
      <w:r w:rsidRPr="00F4129E">
        <w:tab/>
        <w:t xml:space="preserve">Frequencies are for planned production. If production is other than planned, conform to </w:t>
      </w:r>
      <w:proofErr w:type="spellStart"/>
      <w:r w:rsidRPr="00F4129E">
        <w:rPr>
          <w:rStyle w:val="wiLink"/>
        </w:rPr>
        <w:t>CMM</w:t>
      </w:r>
      <w:proofErr w:type="spellEnd"/>
      <w:r w:rsidRPr="00F4129E">
        <w:rPr>
          <w:rStyle w:val="wiLink"/>
        </w:rPr>
        <w:t xml:space="preserve"> 836</w:t>
      </w:r>
      <w:r w:rsidRPr="00F4129E">
        <w:t>.</w:t>
      </w:r>
    </w:p>
    <w:p w14:paraId="370633C4" w14:textId="15371D15" w:rsidR="00631DFD" w:rsidRDefault="00631DFD" w:rsidP="00631DFD">
      <w:pPr>
        <w:pStyle w:val="wiFootnote"/>
      </w:pPr>
      <w:r w:rsidRPr="00F4129E">
        <w:tab/>
      </w:r>
      <w:r w:rsidRPr="00F4129E">
        <w:rPr>
          <w:i/>
          <w:vertAlign w:val="superscript"/>
        </w:rPr>
        <w:t>[2]</w:t>
      </w:r>
      <w:r w:rsidRPr="00F4129E">
        <w:tab/>
        <w:t>Add a random sample for each additional 1500 tons or fraction of 1500 tons.</w:t>
      </w:r>
    </w:p>
    <w:p w14:paraId="69CB4B40" w14:textId="77777777" w:rsidR="007062A8" w:rsidRPr="007062A8" w:rsidRDefault="007062A8" w:rsidP="00047260">
      <w:pPr>
        <w:pStyle w:val="wiTableBuffer"/>
      </w:pPr>
    </w:p>
    <w:p w14:paraId="03FCC1B2" w14:textId="2902C1A3" w:rsidR="00631DFD" w:rsidRPr="00F4129E" w:rsidRDefault="00631DFD" w:rsidP="00631DFD">
      <w:pPr>
        <w:pStyle w:val="wiParagraph"/>
      </w:pPr>
      <w:r w:rsidRPr="00F4129E">
        <w:tab/>
      </w:r>
      <w:r w:rsidRPr="00F4129E">
        <w:rPr>
          <w:rStyle w:val="wiParagraphNumber"/>
        </w:rPr>
        <w:t>(6)</w:t>
      </w:r>
      <w:r w:rsidRPr="00F4129E">
        <w:tab/>
        <w:t xml:space="preserve">Conduct </w:t>
      </w:r>
      <w:proofErr w:type="spellStart"/>
      <w:r w:rsidRPr="00F4129E">
        <w:t>TSR</w:t>
      </w:r>
      <w:proofErr w:type="spellEnd"/>
      <w:r w:rsidRPr="00F4129E">
        <w:t xml:space="preserve"> tests during mixture production according</w:t>
      </w:r>
      <w:r w:rsidRPr="00494C64">
        <w:t xml:space="preserve"> to</w:t>
      </w:r>
      <w:r w:rsidR="00DE63FE">
        <w:t xml:space="preserve"> </w:t>
      </w:r>
      <w:proofErr w:type="spellStart"/>
      <w:r w:rsidR="00DE63FE" w:rsidRPr="00DE63FE">
        <w:rPr>
          <w:rStyle w:val="wiLink"/>
        </w:rPr>
        <w:t>CMM</w:t>
      </w:r>
      <w:proofErr w:type="spellEnd"/>
      <w:r w:rsidR="00DE63FE" w:rsidRPr="00DE63FE">
        <w:rPr>
          <w:rStyle w:val="wiLink"/>
        </w:rPr>
        <w:t xml:space="preserve"> 836.6.14</w:t>
      </w:r>
      <w:r w:rsidR="00DE63FE">
        <w:t xml:space="preserve"> an</w:t>
      </w:r>
      <w:r w:rsidR="00DE63FE" w:rsidRPr="000E515B">
        <w:t>d</w:t>
      </w:r>
      <w:r w:rsidRPr="000E515B">
        <w:t xml:space="preserve"> </w:t>
      </w:r>
      <w:r w:rsidR="00494C64" w:rsidRPr="002664E9">
        <w:rPr>
          <w:rStyle w:val="wiLink"/>
        </w:rPr>
        <w:t>WTM T283</w:t>
      </w:r>
      <w:r w:rsidRPr="000E515B">
        <w:t>. Te</w:t>
      </w:r>
      <w:r w:rsidRPr="00F4129E">
        <w:t xml:space="preserve">st each full </w:t>
      </w:r>
      <w:proofErr w:type="gramStart"/>
      <w:r w:rsidRPr="00F4129E">
        <w:t>50,000 ton</w:t>
      </w:r>
      <w:proofErr w:type="gramEnd"/>
      <w:r w:rsidRPr="00F4129E">
        <w:t xml:space="preserve"> production increment, or fraction of an increment, after the first 5000 tons of production. Perform required increment testing in the first week of production of that increment. If production </w:t>
      </w:r>
      <w:proofErr w:type="spellStart"/>
      <w:r w:rsidRPr="00F4129E">
        <w:t>TSR</w:t>
      </w:r>
      <w:proofErr w:type="spellEnd"/>
      <w:r w:rsidRPr="00F4129E">
        <w:t xml:space="preserve"> values are below the limit specified in </w:t>
      </w:r>
      <w:proofErr w:type="spellStart"/>
      <w:r w:rsidRPr="00F4129E">
        <w:rPr>
          <w:rStyle w:val="wiLink"/>
        </w:rPr>
        <w:t>CMM</w:t>
      </w:r>
      <w:proofErr w:type="spellEnd"/>
      <w:r w:rsidRPr="00F4129E">
        <w:rPr>
          <w:rStyle w:val="wiLink"/>
        </w:rPr>
        <w:t xml:space="preserve"> 836.6.14</w:t>
      </w:r>
      <w:r w:rsidRPr="00F4129E">
        <w:t>, notify the engineer. The engineer and contractor will jointly determine a corrective action.</w:t>
      </w:r>
    </w:p>
    <w:p w14:paraId="129F74D3" w14:textId="77777777" w:rsidR="00631DFD" w:rsidRPr="00F4129E" w:rsidRDefault="00631DFD" w:rsidP="00631DFD">
      <w:pPr>
        <w:pStyle w:val="wiHeading6"/>
      </w:pPr>
      <w:proofErr w:type="gramStart"/>
      <w:r w:rsidRPr="00F4129E">
        <w:t>460.2.8.2.1.3.2  Contracts</w:t>
      </w:r>
      <w:proofErr w:type="gramEnd"/>
      <w:r w:rsidRPr="00F4129E">
        <w:t xml:space="preserve"> with Less Than 5000 Tons of Mixture</w:t>
      </w:r>
    </w:p>
    <w:p w14:paraId="0A518E1C" w14:textId="77777777" w:rsidR="00631DFD" w:rsidRPr="00F4129E" w:rsidRDefault="00631DFD" w:rsidP="00631DFD">
      <w:pPr>
        <w:pStyle w:val="wiParagraph"/>
      </w:pPr>
      <w:r w:rsidRPr="00F4129E">
        <w:tab/>
      </w:r>
      <w:r w:rsidRPr="00F4129E">
        <w:rPr>
          <w:rStyle w:val="wiParagraphNumber"/>
        </w:rPr>
        <w:t>(1)</w:t>
      </w:r>
      <w:r w:rsidRPr="00F4129E">
        <w:tab/>
        <w:t xml:space="preserve">Conform to </w:t>
      </w:r>
      <w:r w:rsidRPr="00F4129E">
        <w:rPr>
          <w:rStyle w:val="wiLink"/>
        </w:rPr>
        <w:t>460.2.8.2.1.3.1</w:t>
      </w:r>
      <w:r w:rsidRPr="00F4129E">
        <w:t xml:space="preserve"> modified as follows:</w:t>
      </w:r>
    </w:p>
    <w:p w14:paraId="75C57846" w14:textId="77777777" w:rsidR="00631DFD" w:rsidRPr="00F4129E" w:rsidRDefault="00631DFD" w:rsidP="00631DFD">
      <w:pPr>
        <w:pStyle w:val="wiBullet1"/>
      </w:pPr>
      <w:r w:rsidRPr="00F4129E">
        <w:t>-</w:t>
      </w:r>
      <w:r w:rsidRPr="00F4129E">
        <w:tab/>
        <w:t>The contractor may conduct QC tests in an off-site laboratory.</w:t>
      </w:r>
    </w:p>
    <w:p w14:paraId="33A406CC" w14:textId="77777777" w:rsidR="00631DFD" w:rsidRPr="00F4129E" w:rsidRDefault="00631DFD" w:rsidP="00631DFD">
      <w:pPr>
        <w:pStyle w:val="wiBullet1"/>
      </w:pPr>
      <w:r w:rsidRPr="00F4129E">
        <w:t>-</w:t>
      </w:r>
      <w:r w:rsidRPr="00F4129E">
        <w:tab/>
        <w:t>No field tensile strength ratio testing is required.</w:t>
      </w:r>
    </w:p>
    <w:p w14:paraId="36A59335" w14:textId="77777777" w:rsidR="00631DFD" w:rsidRPr="00F4129E" w:rsidRDefault="00631DFD" w:rsidP="00631DFD">
      <w:pPr>
        <w:pStyle w:val="wiHeading6"/>
      </w:pPr>
      <w:proofErr w:type="gramStart"/>
      <w:r w:rsidRPr="00F4129E">
        <w:t>460.2.8.2.1.3.3  Contracts</w:t>
      </w:r>
      <w:proofErr w:type="gramEnd"/>
      <w:r w:rsidRPr="00F4129E">
        <w:t xml:space="preserve"> with Less Than 500 Tons of Mixture</w:t>
      </w:r>
    </w:p>
    <w:p w14:paraId="090D1C98" w14:textId="77777777" w:rsidR="00631DFD" w:rsidRPr="00F4129E" w:rsidRDefault="00631DFD" w:rsidP="00631DFD">
      <w:pPr>
        <w:pStyle w:val="wiParagraph"/>
      </w:pPr>
      <w:r w:rsidRPr="00F4129E">
        <w:tab/>
      </w:r>
      <w:r w:rsidRPr="00F4129E">
        <w:rPr>
          <w:rStyle w:val="wiParagraphNumber"/>
        </w:rPr>
        <w:t>(1)</w:t>
      </w:r>
      <w:r w:rsidRPr="00F4129E">
        <w:tab/>
        <w:t>The engineer may waive QC testing for bid items with less than 500 tons of mixture. If testing is waived, acceptance will be by visual inspection unless defined otherwise by change order.</w:t>
      </w:r>
    </w:p>
    <w:p w14:paraId="570E9982" w14:textId="77777777" w:rsidR="00631DFD" w:rsidRPr="00F4129E" w:rsidRDefault="00631DFD" w:rsidP="00631DFD">
      <w:pPr>
        <w:pStyle w:val="wiHeading6"/>
      </w:pPr>
      <w:proofErr w:type="gramStart"/>
      <w:r w:rsidRPr="00F4129E">
        <w:t>460.2.8.2.1.3.4  Temporary</w:t>
      </w:r>
      <w:proofErr w:type="gramEnd"/>
      <w:r w:rsidRPr="00F4129E">
        <w:t xml:space="preserve"> Pavements</w:t>
      </w:r>
    </w:p>
    <w:p w14:paraId="6623E318" w14:textId="77777777" w:rsidR="00631DFD" w:rsidRPr="00F4129E" w:rsidRDefault="00631DFD" w:rsidP="00631DFD">
      <w:pPr>
        <w:pStyle w:val="wiParagraph"/>
      </w:pPr>
      <w:r w:rsidRPr="00F4129E">
        <w:tab/>
      </w:r>
      <w:r w:rsidRPr="00F4129E">
        <w:rPr>
          <w:rStyle w:val="wiParagraphNumber"/>
        </w:rPr>
        <w:t>(1)</w:t>
      </w:r>
      <w:r w:rsidRPr="00F4129E">
        <w:tab/>
        <w:t>The engineer may waive testing for temporary pavements, defined for this purpose as pavements that will be placed and removed before contract completion.</w:t>
      </w:r>
    </w:p>
    <w:p w14:paraId="09CC0BE1" w14:textId="77777777" w:rsidR="00631DFD" w:rsidRPr="00F4129E" w:rsidRDefault="00631DFD" w:rsidP="00631DFD">
      <w:pPr>
        <w:pStyle w:val="wiHeading5"/>
      </w:pPr>
      <w:proofErr w:type="gramStart"/>
      <w:r w:rsidRPr="00F4129E">
        <w:t>460.2.8.2.1.4  Documentation</w:t>
      </w:r>
      <w:proofErr w:type="gramEnd"/>
    </w:p>
    <w:p w14:paraId="73F06963" w14:textId="77777777" w:rsidR="00631DFD" w:rsidRPr="00F4129E" w:rsidRDefault="00631DFD" w:rsidP="00631DFD">
      <w:pPr>
        <w:pStyle w:val="wiHeading6"/>
      </w:pPr>
      <w:proofErr w:type="gramStart"/>
      <w:r w:rsidRPr="00F4129E">
        <w:t>460.2.8.2.1.4.1  Records</w:t>
      </w:r>
      <w:proofErr w:type="gramEnd"/>
    </w:p>
    <w:p w14:paraId="6907F313" w14:textId="77777777" w:rsidR="00631DFD" w:rsidRPr="00F4129E" w:rsidRDefault="00631DFD" w:rsidP="00631DFD">
      <w:pPr>
        <w:pStyle w:val="wiParagraph"/>
      </w:pPr>
      <w:r w:rsidRPr="00F4129E">
        <w:tab/>
      </w:r>
      <w:r w:rsidRPr="00F4129E">
        <w:rPr>
          <w:rStyle w:val="wiParagraphNumber"/>
        </w:rPr>
        <w:t>(1)</w:t>
      </w:r>
      <w:r w:rsidRPr="00F4129E">
        <w:tab/>
        <w:t xml:space="preserve">Document observations, inspection records, mixture adjustments, and test results daily. Note observations and inspection records in a permanent field record as they occur. Record process adjustments and </w:t>
      </w:r>
      <w:proofErr w:type="spellStart"/>
      <w:r w:rsidRPr="00F4129E">
        <w:t>JMF</w:t>
      </w:r>
      <w:proofErr w:type="spellEnd"/>
      <w:r w:rsidRPr="00F4129E">
        <w:t xml:space="preserve"> changes. Submit copies of the running average calculation sheets for blended aggregate, mixture properties, and asphalt content along with mixture adjustment records to the engineer each day. Submit testing records and control charts to the engineer in a neat and orderly manner within 10 days after paving is completed.</w:t>
      </w:r>
    </w:p>
    <w:p w14:paraId="71050055" w14:textId="77777777" w:rsidR="00631DFD" w:rsidRPr="00F4129E" w:rsidRDefault="00631DFD" w:rsidP="00631DFD">
      <w:pPr>
        <w:pStyle w:val="wiParagraph"/>
      </w:pPr>
      <w:r w:rsidRPr="00F4129E">
        <w:lastRenderedPageBreak/>
        <w:tab/>
      </w:r>
      <w:r w:rsidRPr="00F4129E">
        <w:rPr>
          <w:rStyle w:val="wiParagraphNumber"/>
        </w:rPr>
        <w:t>(2)</w:t>
      </w:r>
      <w:r w:rsidRPr="00F4129E">
        <w:tab/>
        <w:t>Continue charts, records, and testing frequencies, for each mixture design, from contract to contract.</w:t>
      </w:r>
    </w:p>
    <w:p w14:paraId="67EAB450" w14:textId="77777777" w:rsidR="00631DFD" w:rsidRPr="00F4129E" w:rsidRDefault="00631DFD" w:rsidP="00631DFD">
      <w:pPr>
        <w:pStyle w:val="wiHeading6"/>
      </w:pPr>
      <w:proofErr w:type="gramStart"/>
      <w:r w:rsidRPr="00F4129E">
        <w:t>460.2.8.2.1.4.2  Control</w:t>
      </w:r>
      <w:proofErr w:type="gramEnd"/>
      <w:r w:rsidRPr="00F4129E">
        <w:t xml:space="preserve"> Charts</w:t>
      </w:r>
    </w:p>
    <w:p w14:paraId="32144F95" w14:textId="77777777" w:rsidR="00631DFD" w:rsidRPr="00F4129E" w:rsidRDefault="00631DFD" w:rsidP="00631DFD">
      <w:pPr>
        <w:pStyle w:val="wiParagraph"/>
      </w:pPr>
      <w:r w:rsidRPr="00F4129E">
        <w:tab/>
      </w:r>
      <w:r w:rsidRPr="00F4129E">
        <w:rPr>
          <w:rStyle w:val="wiParagraphNumber"/>
        </w:rPr>
        <w:t>(1)</w:t>
      </w:r>
      <w:r w:rsidRPr="00F4129E">
        <w:tab/>
        <w:t>Maintain standardized control charts at the laboratory. Record contractor test results on the charts the same day as testing. Record data on the standardized control charts as follows:</w:t>
      </w:r>
    </w:p>
    <w:p w14:paraId="503DDDE5" w14:textId="77777777" w:rsidR="00631DFD" w:rsidRPr="00F4129E" w:rsidRDefault="00631DFD" w:rsidP="00631DFD">
      <w:pPr>
        <w:pStyle w:val="wiBullet1"/>
      </w:pPr>
      <w:r w:rsidRPr="00F4129E">
        <w:t>-</w:t>
      </w:r>
      <w:r w:rsidRPr="00F4129E">
        <w:tab/>
        <w:t>Blended aggregate gradation tests in percent passing. Of the following, plot sieves required in table 460-1: 37.5-mm, 25.0-mm, 19.0-mm, 12.5-mm, 9.5-mm, 4.75-mm, 2.36-mm, 1.18-mm, 0.60-mm, and 0.075-mm.</w:t>
      </w:r>
    </w:p>
    <w:p w14:paraId="70768111" w14:textId="77777777" w:rsidR="00631DFD" w:rsidRPr="00F4129E" w:rsidRDefault="00631DFD" w:rsidP="00631DFD">
      <w:pPr>
        <w:pStyle w:val="wiBullet1"/>
      </w:pPr>
      <w:r w:rsidRPr="00F4129E">
        <w:t>-</w:t>
      </w:r>
      <w:r w:rsidRPr="00F4129E">
        <w:tab/>
        <w:t>Asphalt material content in percent.</w:t>
      </w:r>
    </w:p>
    <w:p w14:paraId="0D425214" w14:textId="77777777" w:rsidR="00631DFD" w:rsidRPr="00F4129E" w:rsidRDefault="00631DFD" w:rsidP="00631DFD">
      <w:pPr>
        <w:pStyle w:val="wiBullet1"/>
      </w:pPr>
      <w:r w:rsidRPr="00F4129E">
        <w:t>-</w:t>
      </w:r>
      <w:r w:rsidRPr="00F4129E">
        <w:tab/>
        <w:t>Air voids in percent.</w:t>
      </w:r>
    </w:p>
    <w:p w14:paraId="44538821" w14:textId="77777777" w:rsidR="00631DFD" w:rsidRPr="00F4129E" w:rsidRDefault="00631DFD" w:rsidP="00631DFD">
      <w:pPr>
        <w:pStyle w:val="wiBullet1"/>
      </w:pPr>
      <w:r w:rsidRPr="00F4129E">
        <w:t>-</w:t>
      </w:r>
      <w:r w:rsidRPr="00F4129E">
        <w:tab/>
        <w:t>VMA in percent.</w:t>
      </w:r>
    </w:p>
    <w:p w14:paraId="539A4309" w14:textId="77777777" w:rsidR="00631DFD" w:rsidRPr="00F4129E" w:rsidRDefault="00631DFD" w:rsidP="00631DFD">
      <w:pPr>
        <w:pStyle w:val="wiParagraph"/>
      </w:pPr>
      <w:r w:rsidRPr="00F4129E">
        <w:tab/>
      </w:r>
      <w:r w:rsidRPr="00F4129E">
        <w:rPr>
          <w:rStyle w:val="wiParagraphNumber"/>
        </w:rPr>
        <w:t>(2)</w:t>
      </w:r>
      <w:r w:rsidRPr="00F4129E">
        <w:tab/>
        <w:t xml:space="preserve">Plot both the individual test point and the running average of the last 4 data points on each chart. Show QC data in black with the running average in red. Draw the warning limits with a dashed green line and the </w:t>
      </w:r>
      <w:proofErr w:type="spellStart"/>
      <w:r w:rsidRPr="00F4129E">
        <w:t>JMF</w:t>
      </w:r>
      <w:proofErr w:type="spellEnd"/>
      <w:r w:rsidRPr="00F4129E">
        <w:t xml:space="preserve"> limits with a dashed red line. The contractor may use computer generated black-and-white printouts with a legend that clearly identifies the specified color-coded components.</w:t>
      </w:r>
    </w:p>
    <w:p w14:paraId="600AA36F" w14:textId="77777777" w:rsidR="00631DFD" w:rsidRPr="00F4129E" w:rsidRDefault="00631DFD" w:rsidP="00631DFD">
      <w:pPr>
        <w:pStyle w:val="wiHeading5"/>
      </w:pPr>
      <w:proofErr w:type="gramStart"/>
      <w:r w:rsidRPr="00F4129E">
        <w:t>460.2.8.2.1.5  Control</w:t>
      </w:r>
      <w:proofErr w:type="gramEnd"/>
      <w:r w:rsidRPr="00F4129E">
        <w:t xml:space="preserve"> Limits</w:t>
      </w:r>
    </w:p>
    <w:p w14:paraId="132CBA22" w14:textId="7743402B" w:rsidR="00631DFD" w:rsidRDefault="00631DFD" w:rsidP="00631DFD">
      <w:pPr>
        <w:pStyle w:val="wiParagraph"/>
      </w:pPr>
      <w:r w:rsidRPr="00F4129E">
        <w:tab/>
      </w:r>
      <w:r w:rsidRPr="00F4129E">
        <w:rPr>
          <w:rStyle w:val="wiParagraphNumber"/>
        </w:rPr>
        <w:t>(1)</w:t>
      </w:r>
      <w:r w:rsidRPr="00F4129E">
        <w:tab/>
        <w:t xml:space="preserve">Conform to the following control limits for the </w:t>
      </w:r>
      <w:proofErr w:type="spellStart"/>
      <w:r w:rsidRPr="00F4129E">
        <w:t>JMF</w:t>
      </w:r>
      <w:proofErr w:type="spellEnd"/>
      <w:r w:rsidRPr="00F4129E">
        <w:t xml:space="preserve"> and warning limits based on a running average of the last 4 data points:</w:t>
      </w:r>
    </w:p>
    <w:p w14:paraId="6A01B86A" w14:textId="77777777" w:rsidR="00047260" w:rsidRPr="00F4129E" w:rsidRDefault="00047260" w:rsidP="00047260">
      <w:pPr>
        <w:pStyle w:val="wiTableBuffer"/>
      </w:pPr>
    </w:p>
    <w:p w14:paraId="35ED77E7" w14:textId="5ACC0C40" w:rsidR="00631DFD" w:rsidRPr="00F4129E" w:rsidRDefault="00631DFD" w:rsidP="00631DFD">
      <w:pPr>
        <w:pStyle w:val="wiTable3Col"/>
      </w:pPr>
      <w:r w:rsidRPr="00F4129E">
        <w:tab/>
      </w:r>
      <w:r w:rsidRPr="00052A5F">
        <w:rPr>
          <w:u w:val="single"/>
        </w:rPr>
        <w:t>ITEM</w:t>
      </w:r>
    </w:p>
    <w:p w14:paraId="721DB2AE" w14:textId="757C81E4" w:rsidR="00631DFD" w:rsidRPr="00052A5F" w:rsidRDefault="00631DFD" w:rsidP="00631DFD">
      <w:pPr>
        <w:pStyle w:val="wiTable3Col"/>
        <w:rPr>
          <w:u w:val="single"/>
        </w:rPr>
      </w:pPr>
      <w:r w:rsidRPr="00F4129E">
        <w:tab/>
      </w:r>
      <w:r w:rsidRPr="00052A5F">
        <w:rPr>
          <w:u w:val="single"/>
        </w:rPr>
        <w:t>Percent passing given sieve:</w:t>
      </w:r>
      <w:r w:rsidR="00052A5F" w:rsidRPr="00052A5F">
        <w:tab/>
      </w:r>
      <w:proofErr w:type="spellStart"/>
      <w:r w:rsidR="00052A5F" w:rsidRPr="00052A5F">
        <w:rPr>
          <w:u w:val="single"/>
        </w:rPr>
        <w:t>JMF</w:t>
      </w:r>
      <w:proofErr w:type="spellEnd"/>
      <w:r w:rsidR="00052A5F" w:rsidRPr="00052A5F">
        <w:rPr>
          <w:u w:val="single"/>
        </w:rPr>
        <w:t xml:space="preserve"> LIMITS</w:t>
      </w:r>
      <w:r w:rsidR="00052A5F" w:rsidRPr="00052A5F">
        <w:tab/>
      </w:r>
      <w:r w:rsidR="00052A5F" w:rsidRPr="00052A5F">
        <w:rPr>
          <w:u w:val="single"/>
        </w:rPr>
        <w:t>WARNING LIMITS</w:t>
      </w:r>
    </w:p>
    <w:p w14:paraId="785CAE46" w14:textId="77777777" w:rsidR="00631DFD" w:rsidRPr="00F4129E" w:rsidRDefault="00631DFD" w:rsidP="00631DFD">
      <w:pPr>
        <w:pStyle w:val="wiTable3Col"/>
      </w:pPr>
      <w:r w:rsidRPr="00F4129E">
        <w:tab/>
        <w:t>37.5-mm</w:t>
      </w:r>
      <w:r w:rsidRPr="00F4129E">
        <w:tab/>
        <w:t>+/- 6.0</w:t>
      </w:r>
      <w:r w:rsidRPr="00F4129E">
        <w:tab/>
        <w:t>+/- 4.5</w:t>
      </w:r>
    </w:p>
    <w:p w14:paraId="1696B762" w14:textId="77777777" w:rsidR="00631DFD" w:rsidRPr="00F4129E" w:rsidRDefault="00631DFD" w:rsidP="00631DFD">
      <w:pPr>
        <w:pStyle w:val="wiTable3Col"/>
      </w:pPr>
      <w:r w:rsidRPr="00F4129E">
        <w:tab/>
        <w:t>25.0-mm</w:t>
      </w:r>
      <w:r w:rsidRPr="00F4129E">
        <w:tab/>
        <w:t>+/- 6.0</w:t>
      </w:r>
      <w:r w:rsidRPr="00F4129E">
        <w:tab/>
        <w:t>+/- 4.5</w:t>
      </w:r>
    </w:p>
    <w:p w14:paraId="2F05D922" w14:textId="77777777" w:rsidR="00631DFD" w:rsidRPr="00F4129E" w:rsidRDefault="00631DFD" w:rsidP="00631DFD">
      <w:pPr>
        <w:pStyle w:val="wiTable3Col"/>
      </w:pPr>
      <w:r w:rsidRPr="00F4129E">
        <w:tab/>
        <w:t>19.0-mm</w:t>
      </w:r>
      <w:r w:rsidRPr="00F4129E">
        <w:tab/>
        <w:t>+/- 5.5</w:t>
      </w:r>
      <w:r w:rsidRPr="00F4129E">
        <w:tab/>
        <w:t>+/- 4.0</w:t>
      </w:r>
    </w:p>
    <w:p w14:paraId="0E67BF7A" w14:textId="77777777" w:rsidR="00631DFD" w:rsidRPr="00F4129E" w:rsidRDefault="00631DFD" w:rsidP="00631DFD">
      <w:pPr>
        <w:pStyle w:val="wiTable3Col"/>
      </w:pPr>
      <w:r w:rsidRPr="00F4129E">
        <w:tab/>
        <w:t>12.5-mm</w:t>
      </w:r>
      <w:r w:rsidRPr="00F4129E">
        <w:tab/>
        <w:t>+/- 5.5</w:t>
      </w:r>
      <w:r w:rsidRPr="00F4129E">
        <w:tab/>
        <w:t>+/- 4.0</w:t>
      </w:r>
    </w:p>
    <w:p w14:paraId="3D2961CB" w14:textId="77777777" w:rsidR="00631DFD" w:rsidRPr="00F4129E" w:rsidRDefault="00631DFD" w:rsidP="00631DFD">
      <w:pPr>
        <w:pStyle w:val="wiTable3Col"/>
      </w:pPr>
      <w:r w:rsidRPr="00F4129E">
        <w:tab/>
        <w:t>9.5-mm</w:t>
      </w:r>
      <w:r w:rsidRPr="00F4129E">
        <w:tab/>
        <w:t>+/- 5.5</w:t>
      </w:r>
      <w:r w:rsidRPr="00F4129E">
        <w:tab/>
        <w:t>+/- 4.0</w:t>
      </w:r>
    </w:p>
    <w:p w14:paraId="7799849B" w14:textId="77777777" w:rsidR="00631DFD" w:rsidRPr="00F4129E" w:rsidRDefault="00631DFD" w:rsidP="00631DFD">
      <w:pPr>
        <w:pStyle w:val="wiTable3Col"/>
      </w:pPr>
      <w:r w:rsidRPr="00F4129E">
        <w:tab/>
        <w:t>4.75-mm</w:t>
      </w:r>
      <w:r w:rsidRPr="00F4129E">
        <w:tab/>
        <w:t>+/- 5.0</w:t>
      </w:r>
      <w:r w:rsidRPr="00F4129E">
        <w:tab/>
        <w:t>+/- 4.0</w:t>
      </w:r>
    </w:p>
    <w:p w14:paraId="578122AC" w14:textId="77777777" w:rsidR="00631DFD" w:rsidRPr="00F4129E" w:rsidRDefault="00631DFD" w:rsidP="00631DFD">
      <w:pPr>
        <w:pStyle w:val="wiTable3Col"/>
      </w:pPr>
      <w:r w:rsidRPr="00F4129E">
        <w:tab/>
        <w:t>2.36-mm</w:t>
      </w:r>
      <w:r w:rsidRPr="00F4129E">
        <w:tab/>
        <w:t>+/- 5.0</w:t>
      </w:r>
      <w:r w:rsidRPr="00F4129E">
        <w:tab/>
        <w:t>+/- 4.0</w:t>
      </w:r>
    </w:p>
    <w:p w14:paraId="101BFDC6" w14:textId="77777777" w:rsidR="00631DFD" w:rsidRPr="00F4129E" w:rsidRDefault="00631DFD" w:rsidP="00631DFD">
      <w:pPr>
        <w:pStyle w:val="wiTable3Col"/>
      </w:pPr>
      <w:r w:rsidRPr="00F4129E">
        <w:tab/>
        <w:t>1.18-mm</w:t>
      </w:r>
      <w:r w:rsidRPr="00F4129E">
        <w:tab/>
        <w:t>+/- 4.0</w:t>
      </w:r>
      <w:r w:rsidRPr="00F4129E">
        <w:tab/>
        <w:t>+/- 3.0</w:t>
      </w:r>
    </w:p>
    <w:p w14:paraId="1CE34DE1" w14:textId="77777777" w:rsidR="00631DFD" w:rsidRPr="00F4129E" w:rsidRDefault="00631DFD" w:rsidP="00631DFD">
      <w:pPr>
        <w:pStyle w:val="wiTable3Col"/>
      </w:pPr>
      <w:r w:rsidRPr="00F4129E">
        <w:tab/>
        <w:t>0.60-mm</w:t>
      </w:r>
      <w:r w:rsidRPr="00F4129E">
        <w:tab/>
        <w:t>+/- 4.0</w:t>
      </w:r>
      <w:r w:rsidRPr="00F4129E">
        <w:tab/>
        <w:t>+/- 3.0</w:t>
      </w:r>
    </w:p>
    <w:p w14:paraId="572F6603" w14:textId="77777777" w:rsidR="00631DFD" w:rsidRPr="00F4129E" w:rsidRDefault="00631DFD" w:rsidP="00631DFD">
      <w:pPr>
        <w:pStyle w:val="wiTable3Col"/>
      </w:pPr>
      <w:r w:rsidRPr="00F4129E">
        <w:tab/>
        <w:t>0.075-mm</w:t>
      </w:r>
      <w:r w:rsidRPr="00F4129E">
        <w:tab/>
        <w:t>+/- 2.0</w:t>
      </w:r>
      <w:r w:rsidRPr="00F4129E">
        <w:tab/>
        <w:t>+/- 1.5</w:t>
      </w:r>
    </w:p>
    <w:p w14:paraId="5069608C" w14:textId="77777777" w:rsidR="00631DFD" w:rsidRPr="00F4129E" w:rsidRDefault="00631DFD" w:rsidP="00631DFD">
      <w:pPr>
        <w:pStyle w:val="wiTable3Col"/>
      </w:pPr>
      <w:r w:rsidRPr="00F4129E">
        <w:tab/>
        <w:t>Asphaltic binder content in percent</w:t>
      </w:r>
      <w:r w:rsidRPr="00F4129E">
        <w:tab/>
        <w:t>- 0.3</w:t>
      </w:r>
      <w:r w:rsidRPr="00F4129E">
        <w:tab/>
        <w:t>- 0.2</w:t>
      </w:r>
    </w:p>
    <w:p w14:paraId="75A9C46E" w14:textId="77777777" w:rsidR="00631DFD" w:rsidRPr="00F4129E" w:rsidRDefault="00631DFD" w:rsidP="00631DFD">
      <w:pPr>
        <w:pStyle w:val="wiTable3Col"/>
      </w:pPr>
      <w:r w:rsidRPr="00F4129E">
        <w:tab/>
        <w:t xml:space="preserve">Air voids in </w:t>
      </w:r>
      <w:proofErr w:type="gramStart"/>
      <w:r w:rsidRPr="00F4129E">
        <w:t>percent</w:t>
      </w:r>
      <w:r w:rsidRPr="00F4129E">
        <w:rPr>
          <w:i/>
          <w:vertAlign w:val="superscript"/>
        </w:rPr>
        <w:t>[</w:t>
      </w:r>
      <w:proofErr w:type="gramEnd"/>
      <w:r w:rsidRPr="00F4129E">
        <w:rPr>
          <w:i/>
          <w:vertAlign w:val="superscript"/>
        </w:rPr>
        <w:t>1]</w:t>
      </w:r>
      <w:r w:rsidRPr="00F4129E">
        <w:tab/>
        <w:t>+1.3/-1.0</w:t>
      </w:r>
      <w:r w:rsidRPr="00F4129E">
        <w:tab/>
        <w:t>+1.0/-0.7</w:t>
      </w:r>
    </w:p>
    <w:p w14:paraId="0CE1AD8B" w14:textId="77777777" w:rsidR="00631DFD" w:rsidRPr="00F4129E" w:rsidRDefault="00631DFD" w:rsidP="00631DFD">
      <w:pPr>
        <w:pStyle w:val="wiTable3Col"/>
      </w:pPr>
      <w:r w:rsidRPr="00F4129E">
        <w:tab/>
        <w:t xml:space="preserve">VMA in </w:t>
      </w:r>
      <w:proofErr w:type="gramStart"/>
      <w:r w:rsidRPr="00F4129E">
        <w:t>percent</w:t>
      </w:r>
      <w:r w:rsidRPr="00F4129E">
        <w:rPr>
          <w:i/>
          <w:vertAlign w:val="superscript"/>
        </w:rPr>
        <w:t>[</w:t>
      </w:r>
      <w:proofErr w:type="gramEnd"/>
      <w:r w:rsidRPr="00F4129E">
        <w:rPr>
          <w:i/>
          <w:vertAlign w:val="superscript"/>
        </w:rPr>
        <w:t>2]</w:t>
      </w:r>
      <w:r w:rsidRPr="00F4129E">
        <w:tab/>
        <w:t>- 0.5</w:t>
      </w:r>
      <w:r w:rsidRPr="00F4129E">
        <w:tab/>
        <w:t>- 0.2</w:t>
      </w:r>
    </w:p>
    <w:p w14:paraId="2A5699CC" w14:textId="77777777" w:rsidR="00052A5F" w:rsidRDefault="00052A5F" w:rsidP="00052A5F">
      <w:pPr>
        <w:pStyle w:val="wiTableBuffer"/>
      </w:pPr>
    </w:p>
    <w:p w14:paraId="48CB7175" w14:textId="60FECEF6" w:rsidR="00631DFD" w:rsidRPr="00F4129E" w:rsidRDefault="00631DFD" w:rsidP="00631DFD">
      <w:pPr>
        <w:pStyle w:val="wiFootnote"/>
      </w:pPr>
      <w:r w:rsidRPr="00F4129E">
        <w:tab/>
      </w:r>
      <w:r w:rsidRPr="00F4129E">
        <w:rPr>
          <w:i/>
          <w:vertAlign w:val="superscript"/>
        </w:rPr>
        <w:t>[1]</w:t>
      </w:r>
      <w:r w:rsidRPr="00F4129E">
        <w:tab/>
        <w:t xml:space="preserve">For </w:t>
      </w:r>
      <w:proofErr w:type="spellStart"/>
      <w:r w:rsidRPr="00F4129E">
        <w:t>SMA</w:t>
      </w:r>
      <w:proofErr w:type="spellEnd"/>
      <w:r w:rsidRPr="00F4129E">
        <w:t xml:space="preserve">, </w:t>
      </w:r>
      <w:proofErr w:type="spellStart"/>
      <w:r w:rsidRPr="00F4129E">
        <w:t>JMF</w:t>
      </w:r>
      <w:proofErr w:type="spellEnd"/>
      <w:r w:rsidRPr="00F4129E">
        <w:t xml:space="preserve"> limits are +/-1.3 and warning limits are +/-1.0.</w:t>
      </w:r>
    </w:p>
    <w:p w14:paraId="3FCC65AD" w14:textId="007B80B9" w:rsidR="00631DFD" w:rsidRDefault="00631DFD" w:rsidP="00631DFD">
      <w:pPr>
        <w:pStyle w:val="wiFootnote"/>
      </w:pPr>
      <w:r w:rsidRPr="00F4129E">
        <w:tab/>
      </w:r>
      <w:r w:rsidRPr="00F4129E">
        <w:rPr>
          <w:i/>
          <w:vertAlign w:val="superscript"/>
        </w:rPr>
        <w:t>[2]</w:t>
      </w:r>
      <w:r w:rsidRPr="00F4129E">
        <w:tab/>
        <w:t xml:space="preserve">VMA limits are based on requirements for each mixture design nominal maximum aggregate size in table 460-1. For No. 6 (4.75mm) mixes, </w:t>
      </w:r>
      <w:proofErr w:type="spellStart"/>
      <w:r w:rsidRPr="00F4129E">
        <w:t>JMF</w:t>
      </w:r>
      <w:proofErr w:type="spellEnd"/>
      <w:r w:rsidRPr="00F4129E">
        <w:t xml:space="preserve"> limits are +/- 0.5 and warning limits are +/- 0.2.</w:t>
      </w:r>
    </w:p>
    <w:p w14:paraId="084C1FD3" w14:textId="77777777" w:rsidR="007062A8" w:rsidRPr="007062A8" w:rsidRDefault="007062A8" w:rsidP="00047260">
      <w:pPr>
        <w:pStyle w:val="wiTableBuffer"/>
      </w:pPr>
    </w:p>
    <w:p w14:paraId="1F658553" w14:textId="74B96B09" w:rsidR="00631DFD" w:rsidRPr="00F4129E" w:rsidRDefault="00631DFD" w:rsidP="00631DFD">
      <w:pPr>
        <w:pStyle w:val="wiParagraph"/>
      </w:pPr>
      <w:r w:rsidRPr="00F4129E">
        <w:tab/>
      </w:r>
      <w:r w:rsidRPr="00F4129E">
        <w:rPr>
          <w:rStyle w:val="wiParagraphNumber"/>
        </w:rPr>
        <w:t>(2)</w:t>
      </w:r>
      <w:r w:rsidRPr="00F4129E">
        <w:tab/>
        <w:t xml:space="preserve">Warning bands are defined as the area between the </w:t>
      </w:r>
      <w:proofErr w:type="spellStart"/>
      <w:r w:rsidRPr="00F4129E">
        <w:t>JMF</w:t>
      </w:r>
      <w:proofErr w:type="spellEnd"/>
      <w:r w:rsidRPr="00F4129E">
        <w:t xml:space="preserve"> limits and the warning limits.</w:t>
      </w:r>
    </w:p>
    <w:p w14:paraId="14B89513" w14:textId="77777777" w:rsidR="00631DFD" w:rsidRPr="00F4129E" w:rsidRDefault="00631DFD" w:rsidP="00631DFD">
      <w:pPr>
        <w:pStyle w:val="wiHeading5"/>
      </w:pPr>
      <w:proofErr w:type="gramStart"/>
      <w:r w:rsidRPr="00F4129E">
        <w:t>460.2.8.2.1.6  Job</w:t>
      </w:r>
      <w:proofErr w:type="gramEnd"/>
      <w:r w:rsidRPr="00F4129E">
        <w:t xml:space="preserve"> Mix Formula Adjustment</w:t>
      </w:r>
    </w:p>
    <w:p w14:paraId="083BBE2A" w14:textId="77777777" w:rsidR="00631DFD" w:rsidRPr="00F4129E" w:rsidRDefault="00631DFD" w:rsidP="00631DFD">
      <w:pPr>
        <w:pStyle w:val="wiParagraph"/>
      </w:pPr>
      <w:r w:rsidRPr="00F4129E">
        <w:tab/>
      </w:r>
      <w:r w:rsidRPr="00F4129E">
        <w:rPr>
          <w:rStyle w:val="wiParagraphNumber"/>
        </w:rPr>
        <w:t>(1)</w:t>
      </w:r>
      <w:r w:rsidRPr="00F4129E">
        <w:tab/>
        <w:t xml:space="preserve">The contractor may request adjustment of the </w:t>
      </w:r>
      <w:proofErr w:type="spellStart"/>
      <w:r w:rsidRPr="00F4129E">
        <w:t>JMF</w:t>
      </w:r>
      <w:proofErr w:type="spellEnd"/>
      <w:r w:rsidRPr="00F4129E">
        <w:t xml:space="preserve"> according to </w:t>
      </w:r>
      <w:proofErr w:type="spellStart"/>
      <w:r w:rsidRPr="00F4129E">
        <w:rPr>
          <w:rStyle w:val="wiLink"/>
        </w:rPr>
        <w:t>CMM</w:t>
      </w:r>
      <w:proofErr w:type="spellEnd"/>
      <w:r w:rsidRPr="00F4129E">
        <w:rPr>
          <w:rStyle w:val="wiLink"/>
        </w:rPr>
        <w:t xml:space="preserve"> 836.6.13.1</w:t>
      </w:r>
      <w:r w:rsidRPr="00F4129E">
        <w:t xml:space="preserve">. Have an </w:t>
      </w:r>
      <w:proofErr w:type="spellStart"/>
      <w:r w:rsidRPr="00F4129E">
        <w:t>HTCP</w:t>
      </w:r>
      <w:proofErr w:type="spellEnd"/>
      <w:r w:rsidRPr="00F4129E">
        <w:t>-certified Hot Mix Asphalt, Trouble Shooting, Process Control (</w:t>
      </w:r>
      <w:proofErr w:type="spellStart"/>
      <w:r w:rsidRPr="00F4129E">
        <w:t>HMA-TPC</w:t>
      </w:r>
      <w:proofErr w:type="spellEnd"/>
      <w:r w:rsidRPr="00F4129E">
        <w:t xml:space="preserve">) technician or </w:t>
      </w:r>
      <w:proofErr w:type="spellStart"/>
      <w:r w:rsidRPr="00F4129E">
        <w:t>HTCP</w:t>
      </w:r>
      <w:proofErr w:type="spellEnd"/>
      <w:r w:rsidRPr="00F4129E">
        <w:t>-certified Hot Mix Asphalt, Mix Design, Report Submittals (</w:t>
      </w:r>
      <w:proofErr w:type="spellStart"/>
      <w:r w:rsidRPr="00F4129E">
        <w:t>HMA</w:t>
      </w:r>
      <w:proofErr w:type="spellEnd"/>
      <w:r w:rsidRPr="00F4129E">
        <w:t xml:space="preserve">-MD) technician submit a written </w:t>
      </w:r>
      <w:proofErr w:type="spellStart"/>
      <w:r w:rsidRPr="00F4129E">
        <w:t>JMF</w:t>
      </w:r>
      <w:proofErr w:type="spellEnd"/>
      <w:r w:rsidRPr="00F4129E">
        <w:t xml:space="preserve"> adjustment request. Ensure that the resulting </w:t>
      </w:r>
      <w:proofErr w:type="spellStart"/>
      <w:r w:rsidRPr="00F4129E">
        <w:t>JMF</w:t>
      </w:r>
      <w:proofErr w:type="spellEnd"/>
      <w:r w:rsidRPr="00F4129E">
        <w:t xml:space="preserve"> is within specified master gradation bands. The department will have an </w:t>
      </w:r>
      <w:proofErr w:type="spellStart"/>
      <w:r w:rsidRPr="00F4129E">
        <w:t>HMA</w:t>
      </w:r>
      <w:proofErr w:type="spellEnd"/>
      <w:r w:rsidRPr="00F4129E">
        <w:t xml:space="preserve">-MD technician review the proposed adjustment and, if acceptable, issue a revised </w:t>
      </w:r>
      <w:proofErr w:type="spellStart"/>
      <w:r w:rsidRPr="00F4129E">
        <w:t>JMF</w:t>
      </w:r>
      <w:proofErr w:type="spellEnd"/>
      <w:r w:rsidRPr="00F4129E">
        <w:t>.</w:t>
      </w:r>
    </w:p>
    <w:p w14:paraId="76FB16F0" w14:textId="77777777" w:rsidR="00631DFD" w:rsidRPr="00F4129E" w:rsidRDefault="00631DFD" w:rsidP="00631DFD">
      <w:pPr>
        <w:pStyle w:val="wiParagraph"/>
      </w:pPr>
      <w:r w:rsidRPr="00F4129E">
        <w:tab/>
      </w:r>
      <w:r w:rsidRPr="00F4129E">
        <w:rPr>
          <w:rStyle w:val="wiParagraphNumber"/>
        </w:rPr>
        <w:t>(2)</w:t>
      </w:r>
      <w:r w:rsidRPr="00F4129E">
        <w:tab/>
        <w:t>The department will not allow adjustments that do the following:</w:t>
      </w:r>
    </w:p>
    <w:p w14:paraId="19ABF28C" w14:textId="77777777" w:rsidR="00631DFD" w:rsidRPr="00F4129E" w:rsidRDefault="00631DFD" w:rsidP="00631DFD">
      <w:pPr>
        <w:pStyle w:val="wiBullet1"/>
      </w:pPr>
      <w:r w:rsidRPr="00F4129E">
        <w:t>-</w:t>
      </w:r>
      <w:r w:rsidRPr="00F4129E">
        <w:tab/>
        <w:t xml:space="preserve">Exceed specified </w:t>
      </w:r>
      <w:proofErr w:type="spellStart"/>
      <w:r w:rsidRPr="00F4129E">
        <w:t>JMF</w:t>
      </w:r>
      <w:proofErr w:type="spellEnd"/>
      <w:r w:rsidRPr="00F4129E">
        <w:t xml:space="preserve"> tolerance limits.</w:t>
      </w:r>
    </w:p>
    <w:p w14:paraId="748493FD" w14:textId="77777777" w:rsidR="00631DFD" w:rsidRPr="00F4129E" w:rsidRDefault="00631DFD" w:rsidP="00631DFD">
      <w:pPr>
        <w:pStyle w:val="wiBullet1"/>
      </w:pPr>
      <w:r w:rsidRPr="00F4129E">
        <w:t>-</w:t>
      </w:r>
      <w:r w:rsidRPr="00F4129E">
        <w:tab/>
        <w:t xml:space="preserve">Reduce the </w:t>
      </w:r>
      <w:proofErr w:type="spellStart"/>
      <w:r w:rsidRPr="00F4129E">
        <w:t>JMF</w:t>
      </w:r>
      <w:proofErr w:type="spellEnd"/>
      <w:r w:rsidRPr="00F4129E">
        <w:t xml:space="preserve"> asphalt content unless the production VMA running average meets or exceeds the minimum VMA design requirement defined in table 460-1 for the mixture produced.</w:t>
      </w:r>
    </w:p>
    <w:p w14:paraId="1D2E346B" w14:textId="77777777" w:rsidR="00631DFD" w:rsidRPr="00F4129E" w:rsidRDefault="00631DFD" w:rsidP="00631DFD">
      <w:pPr>
        <w:pStyle w:val="wiParagraph"/>
      </w:pPr>
      <w:r w:rsidRPr="00F4129E">
        <w:tab/>
      </w:r>
      <w:r w:rsidRPr="00F4129E">
        <w:rPr>
          <w:rStyle w:val="wiParagraphNumber"/>
        </w:rPr>
        <w:t>(3)</w:t>
      </w:r>
      <w:r w:rsidRPr="00F4129E">
        <w:tab/>
        <w:t xml:space="preserve">Have an </w:t>
      </w:r>
      <w:proofErr w:type="spellStart"/>
      <w:r w:rsidRPr="00F4129E">
        <w:t>HMA-TPC</w:t>
      </w:r>
      <w:proofErr w:type="spellEnd"/>
      <w:r w:rsidRPr="00F4129E">
        <w:t xml:space="preserve"> technician make related process adjustments. If mixture redesign is necessary, have an </w:t>
      </w:r>
      <w:proofErr w:type="spellStart"/>
      <w:r w:rsidRPr="00F4129E">
        <w:t>HMA</w:t>
      </w:r>
      <w:proofErr w:type="spellEnd"/>
      <w:r w:rsidRPr="00F4129E">
        <w:t xml:space="preserve">-MD technician submit a new </w:t>
      </w:r>
      <w:proofErr w:type="spellStart"/>
      <w:r w:rsidRPr="00F4129E">
        <w:t>JMF</w:t>
      </w:r>
      <w:proofErr w:type="spellEnd"/>
      <w:r w:rsidRPr="00F4129E">
        <w:t xml:space="preserve">, subject to the same specification requirements as the original </w:t>
      </w:r>
      <w:proofErr w:type="spellStart"/>
      <w:r w:rsidRPr="00F4129E">
        <w:t>JMF</w:t>
      </w:r>
      <w:proofErr w:type="spellEnd"/>
      <w:r w:rsidRPr="00F4129E">
        <w:t>.</w:t>
      </w:r>
    </w:p>
    <w:p w14:paraId="109DA8BE" w14:textId="77777777" w:rsidR="00631DFD" w:rsidRPr="00F4129E" w:rsidRDefault="00631DFD" w:rsidP="00631DFD">
      <w:pPr>
        <w:pStyle w:val="wiHeading5"/>
      </w:pPr>
      <w:proofErr w:type="gramStart"/>
      <w:r w:rsidRPr="00F4129E">
        <w:t>460.2.8.2.1.7  Corrective</w:t>
      </w:r>
      <w:proofErr w:type="gramEnd"/>
      <w:r w:rsidRPr="00F4129E">
        <w:t xml:space="preserve"> Action</w:t>
      </w:r>
    </w:p>
    <w:p w14:paraId="0B5F3986" w14:textId="77777777" w:rsidR="00631DFD" w:rsidRPr="00F4129E" w:rsidRDefault="00631DFD" w:rsidP="00631DFD">
      <w:pPr>
        <w:pStyle w:val="wiParagraph"/>
      </w:pPr>
      <w:r w:rsidRPr="00F4129E">
        <w:tab/>
      </w:r>
      <w:r w:rsidRPr="00F4129E">
        <w:rPr>
          <w:rStyle w:val="wiParagraphNumber"/>
        </w:rPr>
        <w:t>(1)</w:t>
      </w:r>
      <w:r w:rsidRPr="00F4129E">
        <w:tab/>
        <w:t>When running average values trend toward the warning limits, consider taking corrective action. Document corrective action undertaken. Include test results in the contract files and in running average calculations.</w:t>
      </w:r>
    </w:p>
    <w:p w14:paraId="5F2E7B81" w14:textId="77777777" w:rsidR="00631DFD" w:rsidRPr="00F4129E" w:rsidRDefault="00631DFD" w:rsidP="00631DFD">
      <w:pPr>
        <w:pStyle w:val="wiParagraph"/>
      </w:pPr>
      <w:r w:rsidRPr="00F4129E">
        <w:lastRenderedPageBreak/>
        <w:tab/>
      </w:r>
      <w:r w:rsidRPr="00F4129E">
        <w:rPr>
          <w:rStyle w:val="wiParagraphNumber"/>
        </w:rPr>
        <w:t>(2)</w:t>
      </w:r>
      <w:r w:rsidRPr="00F4129E">
        <w:tab/>
        <w:t xml:space="preserve">Notify the engineer if running average values exceed the warning limits. If two consecutive running average values exceed the warning limits, stop </w:t>
      </w:r>
      <w:proofErr w:type="gramStart"/>
      <w:r w:rsidRPr="00F4129E">
        <w:t>production</w:t>
      </w:r>
      <w:proofErr w:type="gramEnd"/>
      <w:r w:rsidRPr="00F4129E">
        <w:t xml:space="preserve"> and make adjustments. Do not restart production until after notifying the engineer of the adjustments made. Do not calculate a new running average until the fourth test after the required production stop.</w:t>
      </w:r>
    </w:p>
    <w:p w14:paraId="1544FC0D" w14:textId="77777777" w:rsidR="00631DFD" w:rsidRPr="00F4129E" w:rsidRDefault="00631DFD" w:rsidP="00631DFD">
      <w:pPr>
        <w:pStyle w:val="wiParagraph"/>
      </w:pPr>
      <w:r w:rsidRPr="00F4129E">
        <w:tab/>
      </w:r>
      <w:r w:rsidRPr="00F4129E">
        <w:rPr>
          <w:rStyle w:val="wiParagraphNumber"/>
        </w:rPr>
        <w:t>(3)</w:t>
      </w:r>
      <w:r w:rsidRPr="00F4129E">
        <w:tab/>
        <w:t>If the process adjustment improves the property in question so that the running average after 4 additional tests is within the warning limits, the contractor may continue production with no reduction in payment.</w:t>
      </w:r>
    </w:p>
    <w:p w14:paraId="12863FB0" w14:textId="77777777" w:rsidR="00631DFD" w:rsidRPr="00F4129E" w:rsidRDefault="00631DFD" w:rsidP="00631DFD">
      <w:pPr>
        <w:pStyle w:val="wiParagraph"/>
      </w:pPr>
      <w:r w:rsidRPr="00F4129E">
        <w:tab/>
      </w:r>
      <w:r w:rsidRPr="00F4129E">
        <w:rPr>
          <w:rStyle w:val="wiParagraphNumber"/>
        </w:rPr>
        <w:t>(4)</w:t>
      </w:r>
      <w:r w:rsidRPr="00F4129E">
        <w:tab/>
        <w:t>If the adjustment does not improve the properties and the running average after 4 additional tests stays inside the warning bands, the mixture is nonconforming and subject to pay adjustment.</w:t>
      </w:r>
    </w:p>
    <w:p w14:paraId="434608EC" w14:textId="77777777" w:rsidR="00631DFD" w:rsidRPr="00F4129E" w:rsidRDefault="00631DFD" w:rsidP="00631DFD">
      <w:pPr>
        <w:pStyle w:val="wiParagraph"/>
      </w:pPr>
      <w:r w:rsidRPr="00F4129E">
        <w:tab/>
      </w:r>
      <w:r w:rsidRPr="00F4129E">
        <w:rPr>
          <w:rStyle w:val="wiParagraphNumber"/>
        </w:rPr>
        <w:t>(5)</w:t>
      </w:r>
      <w:r w:rsidRPr="00F4129E">
        <w:tab/>
        <w:t xml:space="preserve">If the contractor fails to stop production and </w:t>
      </w:r>
      <w:proofErr w:type="gramStart"/>
      <w:r w:rsidRPr="00F4129E">
        <w:t>make adjustments</w:t>
      </w:r>
      <w:proofErr w:type="gramEnd"/>
      <w:r w:rsidRPr="00F4129E">
        <w:t xml:space="preserve"> when required, mixture produced from the stop point to the point when the running average is back inside the warning limits is nonconforming and subject to pay adjustment.</w:t>
      </w:r>
    </w:p>
    <w:p w14:paraId="70D1123C" w14:textId="77777777" w:rsidR="00631DFD" w:rsidRPr="00F4129E" w:rsidRDefault="00631DFD" w:rsidP="00631DFD">
      <w:pPr>
        <w:pStyle w:val="wiParagraph"/>
      </w:pPr>
      <w:r w:rsidRPr="00F4129E">
        <w:tab/>
      </w:r>
      <w:r w:rsidRPr="00F4129E">
        <w:rPr>
          <w:rStyle w:val="wiParagraphNumber"/>
        </w:rPr>
        <w:t>(6)</w:t>
      </w:r>
      <w:r w:rsidRPr="00F4129E">
        <w:tab/>
        <w:t xml:space="preserve">If the running average values exceed the </w:t>
      </w:r>
      <w:proofErr w:type="spellStart"/>
      <w:r w:rsidRPr="00F4129E">
        <w:t>JMF</w:t>
      </w:r>
      <w:proofErr w:type="spellEnd"/>
      <w:r w:rsidRPr="00F4129E">
        <w:t xml:space="preserve"> limits, stop production and </w:t>
      </w:r>
      <w:proofErr w:type="gramStart"/>
      <w:r w:rsidRPr="00F4129E">
        <w:t>make adjustments</w:t>
      </w:r>
      <w:proofErr w:type="gramEnd"/>
      <w:r w:rsidRPr="00F4129E">
        <w:t>. Do not restart production until after notifying the engineer of the adjustments made. Continue calculating the running average after the production stop.</w:t>
      </w:r>
    </w:p>
    <w:p w14:paraId="1FB57319" w14:textId="77777777" w:rsidR="00631DFD" w:rsidRPr="00F4129E" w:rsidRDefault="00631DFD" w:rsidP="00631DFD">
      <w:pPr>
        <w:pStyle w:val="wiParagraph"/>
      </w:pPr>
      <w:r w:rsidRPr="00F4129E">
        <w:tab/>
      </w:r>
      <w:r w:rsidRPr="00F4129E">
        <w:rPr>
          <w:rStyle w:val="wiParagraphNumber"/>
        </w:rPr>
        <w:t>(7)</w:t>
      </w:r>
      <w:r w:rsidRPr="00F4129E">
        <w:tab/>
        <w:t xml:space="preserve">If the air voids running average of 4 exceeds the </w:t>
      </w:r>
      <w:proofErr w:type="spellStart"/>
      <w:r w:rsidRPr="00F4129E">
        <w:t>JMF</w:t>
      </w:r>
      <w:proofErr w:type="spellEnd"/>
      <w:r w:rsidRPr="00F4129E">
        <w:t xml:space="preserve"> limits, the material is nonconforming. Remove and replace unacceptable material. The engineer will determine the quantity of material to replace based on the testing data using the methods in </w:t>
      </w:r>
      <w:proofErr w:type="spellStart"/>
      <w:r w:rsidRPr="00F4129E">
        <w:rPr>
          <w:rStyle w:val="wiLink"/>
        </w:rPr>
        <w:t>CMM</w:t>
      </w:r>
      <w:proofErr w:type="spellEnd"/>
      <w:r w:rsidRPr="00F4129E">
        <w:rPr>
          <w:rStyle w:val="wiLink"/>
        </w:rPr>
        <w:t xml:space="preserve"> 836</w:t>
      </w:r>
      <w:r w:rsidRPr="00F4129E">
        <w:t xml:space="preserve"> and an inspection of the completed pavement. If the engineer allows the mixture to remain in place, the department will pay for the mixture and asphaltic material as specified in </w:t>
      </w:r>
      <w:r w:rsidRPr="00F4129E">
        <w:rPr>
          <w:rStyle w:val="wiLink"/>
        </w:rPr>
        <w:t>460.5.2.1</w:t>
      </w:r>
      <w:r w:rsidRPr="00F4129E">
        <w:t xml:space="preserve">. For </w:t>
      </w:r>
      <w:proofErr w:type="spellStart"/>
      <w:r w:rsidRPr="00F4129E">
        <w:t>SMA</w:t>
      </w:r>
      <w:proofErr w:type="spellEnd"/>
      <w:r w:rsidRPr="00F4129E">
        <w:t xml:space="preserve">, if one QC air voids test falls outside of the </w:t>
      </w:r>
      <w:proofErr w:type="spellStart"/>
      <w:r w:rsidRPr="00F4129E">
        <w:t>JMF</w:t>
      </w:r>
      <w:proofErr w:type="spellEnd"/>
      <w:r w:rsidRPr="00F4129E">
        <w:t xml:space="preserve"> limits, notify the department and consider corrective action. If two or more individual QC air voids tests within the four-point running average exceed the </w:t>
      </w:r>
      <w:proofErr w:type="spellStart"/>
      <w:r w:rsidRPr="00F4129E">
        <w:t>JMF</w:t>
      </w:r>
      <w:proofErr w:type="spellEnd"/>
      <w:r w:rsidRPr="00F4129E">
        <w:t xml:space="preserve"> limits, the material is nonconforming and subject to pay adjustment as </w:t>
      </w:r>
      <w:r w:rsidRPr="00F4129E">
        <w:rPr>
          <w:rStyle w:val="wiLink"/>
        </w:rPr>
        <w:t>460.5.2.1</w:t>
      </w:r>
      <w:r w:rsidRPr="00F4129E">
        <w:t>(5) footnote 3 specifies.</w:t>
      </w:r>
    </w:p>
    <w:p w14:paraId="0F0D3DC2" w14:textId="77777777" w:rsidR="00631DFD" w:rsidRPr="00F4129E" w:rsidRDefault="00631DFD" w:rsidP="00631DFD">
      <w:pPr>
        <w:pStyle w:val="wiParagraph"/>
      </w:pPr>
      <w:r w:rsidRPr="00F4129E">
        <w:tab/>
      </w:r>
      <w:r w:rsidRPr="00F4129E">
        <w:rPr>
          <w:rStyle w:val="wiParagraphNumber"/>
        </w:rPr>
        <w:t>(8)</w:t>
      </w:r>
      <w:r w:rsidRPr="00F4129E">
        <w:tab/>
        <w:t xml:space="preserve">If the running average of 4 exceeds the </w:t>
      </w:r>
      <w:proofErr w:type="spellStart"/>
      <w:r w:rsidRPr="00F4129E">
        <w:t>JMF</w:t>
      </w:r>
      <w:proofErr w:type="spellEnd"/>
      <w:r w:rsidRPr="00F4129E">
        <w:t xml:space="preserve"> limits for other properties, and the engineer allows the mixture to remain in place, the department will pay for the mixture as specified in </w:t>
      </w:r>
      <w:r w:rsidRPr="00F4129E">
        <w:rPr>
          <w:rStyle w:val="wiLink"/>
        </w:rPr>
        <w:t>460.5.2.1</w:t>
      </w:r>
      <w:r w:rsidRPr="00F4129E">
        <w:t>. The engineer will determine the quantity of material subject to pay reduction based on the testing data and an inspection of the completed pavement.</w:t>
      </w:r>
    </w:p>
    <w:p w14:paraId="0A06ED62" w14:textId="77777777" w:rsidR="00631DFD" w:rsidRPr="00F4129E" w:rsidRDefault="00631DFD" w:rsidP="00631DFD">
      <w:pPr>
        <w:pStyle w:val="wiHeading3"/>
      </w:pPr>
      <w:proofErr w:type="gramStart"/>
      <w:r w:rsidRPr="00F4129E">
        <w:t>460.2.8.3  Department</w:t>
      </w:r>
      <w:proofErr w:type="gramEnd"/>
      <w:r w:rsidRPr="00F4129E">
        <w:t xml:space="preserve"> Testing</w:t>
      </w:r>
    </w:p>
    <w:p w14:paraId="46CD7B07" w14:textId="77777777" w:rsidR="00631DFD" w:rsidRPr="00F4129E" w:rsidRDefault="00631DFD" w:rsidP="00631DFD">
      <w:pPr>
        <w:pStyle w:val="wiHeading4"/>
      </w:pPr>
      <w:proofErr w:type="gramStart"/>
      <w:r w:rsidRPr="00F4129E">
        <w:t>460.2.8.3.1  Quality</w:t>
      </w:r>
      <w:proofErr w:type="gramEnd"/>
      <w:r w:rsidRPr="00F4129E">
        <w:t xml:space="preserve"> Verification Program</w:t>
      </w:r>
    </w:p>
    <w:p w14:paraId="53F59EBF" w14:textId="77777777" w:rsidR="00631DFD" w:rsidRPr="00F4129E" w:rsidRDefault="00631DFD" w:rsidP="00631DFD">
      <w:pPr>
        <w:pStyle w:val="wiHeading5"/>
      </w:pPr>
      <w:proofErr w:type="gramStart"/>
      <w:r w:rsidRPr="00F4129E">
        <w:t>460.2.8.3.1.1  General</w:t>
      </w:r>
      <w:proofErr w:type="gramEnd"/>
    </w:p>
    <w:p w14:paraId="10D7F21C" w14:textId="77777777" w:rsidR="00631DFD" w:rsidRPr="00F4129E" w:rsidRDefault="00631DFD" w:rsidP="00631DFD">
      <w:pPr>
        <w:pStyle w:val="wiParagraph"/>
      </w:pPr>
      <w:r w:rsidRPr="00F4129E">
        <w:tab/>
      </w:r>
      <w:r w:rsidRPr="00F4129E">
        <w:rPr>
          <w:rStyle w:val="wiParagraphNumber"/>
        </w:rPr>
        <w:t>(1)</w:t>
      </w:r>
      <w:r w:rsidRPr="00F4129E">
        <w:tab/>
        <w:t>The engineer will conduct QV tests to determine the quality of the final product and measure characteristics that predict relative performance.</w:t>
      </w:r>
    </w:p>
    <w:p w14:paraId="476FE527" w14:textId="77777777" w:rsidR="00631DFD" w:rsidRPr="00F4129E" w:rsidRDefault="00631DFD" w:rsidP="00631DFD">
      <w:pPr>
        <w:pStyle w:val="wiHeading5"/>
      </w:pPr>
      <w:proofErr w:type="gramStart"/>
      <w:r w:rsidRPr="00F4129E">
        <w:t>460.2.8.3.1.2  Personnel</w:t>
      </w:r>
      <w:proofErr w:type="gramEnd"/>
      <w:r w:rsidRPr="00F4129E">
        <w:t xml:space="preserve"> Requirements</w:t>
      </w:r>
    </w:p>
    <w:p w14:paraId="2AB6DFDD" w14:textId="77777777" w:rsidR="00631DFD" w:rsidRPr="00F4129E" w:rsidRDefault="00631DFD" w:rsidP="00631DFD">
      <w:pPr>
        <w:pStyle w:val="wiParagraph"/>
      </w:pPr>
      <w:r w:rsidRPr="00F4129E">
        <w:tab/>
      </w:r>
      <w:r w:rsidRPr="00F4129E">
        <w:rPr>
          <w:rStyle w:val="wiParagraphNumber"/>
        </w:rPr>
        <w:t>(1)</w:t>
      </w:r>
      <w:r w:rsidRPr="00F4129E">
        <w:tab/>
        <w:t xml:space="preserve">The department will provide at least one </w:t>
      </w:r>
      <w:proofErr w:type="spellStart"/>
      <w:r w:rsidRPr="00F4129E">
        <w:t>HTCP</w:t>
      </w:r>
      <w:proofErr w:type="spellEnd"/>
      <w:r w:rsidRPr="00F4129E">
        <w:t>-certified Transportation Materials Sampling Technician (TMS) technician to observe QV sampling of project mixtures.</w:t>
      </w:r>
    </w:p>
    <w:p w14:paraId="44B6DAD5" w14:textId="77777777" w:rsidR="00631DFD" w:rsidRPr="00F4129E" w:rsidRDefault="00631DFD" w:rsidP="00631DFD">
      <w:pPr>
        <w:pStyle w:val="wiParagraph"/>
      </w:pPr>
      <w:r w:rsidRPr="00F4129E">
        <w:tab/>
      </w:r>
      <w:r w:rsidRPr="00F4129E">
        <w:rPr>
          <w:rStyle w:val="wiParagraphNumber"/>
        </w:rPr>
        <w:t>(2)</w:t>
      </w:r>
      <w:r w:rsidRPr="00F4129E">
        <w:tab/>
        <w:t xml:space="preserve">An </w:t>
      </w:r>
      <w:proofErr w:type="spellStart"/>
      <w:r w:rsidRPr="00F4129E">
        <w:t>HTCP</w:t>
      </w:r>
      <w:proofErr w:type="spellEnd"/>
      <w:r w:rsidRPr="00F4129E">
        <w:t>-certified Hot Mix Asphalt, Technician I, Production Tester (</w:t>
      </w:r>
      <w:proofErr w:type="spellStart"/>
      <w:r w:rsidRPr="00F4129E">
        <w:t>HMA</w:t>
      </w:r>
      <w:proofErr w:type="spellEnd"/>
      <w:r w:rsidRPr="00F4129E">
        <w:t xml:space="preserve">-IPT) or an </w:t>
      </w:r>
      <w:proofErr w:type="spellStart"/>
      <w:r w:rsidRPr="00F4129E">
        <w:t>HMA</w:t>
      </w:r>
      <w:proofErr w:type="spellEnd"/>
      <w:r w:rsidRPr="00F4129E">
        <w:t xml:space="preserve"> ACT working under the </w:t>
      </w:r>
      <w:proofErr w:type="spellStart"/>
      <w:r w:rsidRPr="00F4129E">
        <w:t>HTCP</w:t>
      </w:r>
      <w:proofErr w:type="spellEnd"/>
      <w:r w:rsidRPr="00F4129E">
        <w:t xml:space="preserve">-certified technician, will split samples and do the testing. An </w:t>
      </w:r>
      <w:proofErr w:type="spellStart"/>
      <w:r w:rsidRPr="00F4129E">
        <w:t>HMA</w:t>
      </w:r>
      <w:proofErr w:type="spellEnd"/>
      <w:r w:rsidRPr="00F4129E">
        <w:t>-IPT technician will coordinate and take responsibility for the work an ACT performs. No more than one ACT can work under a single certified tec</w:t>
      </w:r>
      <w:r w:rsidRPr="00F4129E">
        <w:rPr>
          <w:rFonts w:cs="Arial"/>
        </w:rPr>
        <w:t>hnician.</w:t>
      </w:r>
    </w:p>
    <w:p w14:paraId="35F5E40A" w14:textId="77777777" w:rsidR="00631DFD" w:rsidRPr="00F4129E" w:rsidRDefault="00631DFD" w:rsidP="00631DFD">
      <w:pPr>
        <w:pStyle w:val="wiParagraph"/>
      </w:pPr>
      <w:r w:rsidRPr="00F4129E">
        <w:tab/>
      </w:r>
      <w:r w:rsidRPr="00F4129E">
        <w:rPr>
          <w:rStyle w:val="wiParagraphNumber"/>
        </w:rPr>
        <w:t>(3)</w:t>
      </w:r>
      <w:r w:rsidRPr="00F4129E">
        <w:tab/>
        <w:t xml:space="preserve">An </w:t>
      </w:r>
      <w:proofErr w:type="spellStart"/>
      <w:r w:rsidRPr="00F4129E">
        <w:t>HMA</w:t>
      </w:r>
      <w:proofErr w:type="spellEnd"/>
      <w:r w:rsidRPr="00F4129E">
        <w:t>-IPT technician will ensure that sampling and testing is performed correctly, analyze test results, and post resulting data.</w:t>
      </w:r>
    </w:p>
    <w:p w14:paraId="353A1220" w14:textId="77777777" w:rsidR="00631DFD" w:rsidRPr="00F4129E" w:rsidRDefault="00631DFD" w:rsidP="00631DFD">
      <w:pPr>
        <w:pStyle w:val="wiParagraph"/>
      </w:pPr>
      <w:r w:rsidRPr="00F4129E">
        <w:tab/>
      </w:r>
      <w:r w:rsidRPr="00F4129E">
        <w:rPr>
          <w:rStyle w:val="wiParagraphNumber"/>
        </w:rPr>
        <w:t>(4)</w:t>
      </w:r>
      <w:r w:rsidRPr="00F4129E">
        <w:tab/>
        <w:t>The department will make an organizational chart available at the testing laboratory and to the contractor before mixture production begins. The department's chart will include names, telephone numbers, and current certifications of QV testing personnel. The department will update the chart with appropriate changes, as they become effective.</w:t>
      </w:r>
    </w:p>
    <w:p w14:paraId="0FD61BD6" w14:textId="77777777" w:rsidR="00631DFD" w:rsidRPr="00F4129E" w:rsidRDefault="00631DFD" w:rsidP="00631DFD">
      <w:pPr>
        <w:pStyle w:val="wiHeading5"/>
      </w:pPr>
      <w:proofErr w:type="gramStart"/>
      <w:r w:rsidRPr="00F4129E">
        <w:t>460.2.8.3.1.3  Laboratory</w:t>
      </w:r>
      <w:proofErr w:type="gramEnd"/>
      <w:r w:rsidRPr="00F4129E">
        <w:t xml:space="preserve"> Requirements</w:t>
      </w:r>
    </w:p>
    <w:p w14:paraId="23F69BCA" w14:textId="77777777" w:rsidR="00631DFD" w:rsidRPr="00F4129E" w:rsidRDefault="00631DFD" w:rsidP="00631DFD">
      <w:pPr>
        <w:pStyle w:val="wiParagraph"/>
      </w:pPr>
      <w:r w:rsidRPr="00F4129E">
        <w:tab/>
      </w:r>
      <w:r w:rsidRPr="00F4129E">
        <w:rPr>
          <w:rStyle w:val="wiParagraphNumber"/>
        </w:rPr>
        <w:t>(1)</w:t>
      </w:r>
      <w:r w:rsidRPr="00F4129E">
        <w:tab/>
        <w:t>The department will furnish and maintain a facility for QV testing conforming to the department's laboratory qualification program requirements and fully equipped to perform QV testing. The department will conduct testing in a separate laboratory from the contractor's laboratory.</w:t>
      </w:r>
    </w:p>
    <w:p w14:paraId="46C34CF4" w14:textId="72BFA44F" w:rsidR="00631DFD" w:rsidRDefault="00631DFD" w:rsidP="00631DFD">
      <w:pPr>
        <w:pStyle w:val="wiHeading5"/>
      </w:pPr>
      <w:proofErr w:type="gramStart"/>
      <w:r w:rsidRPr="00F4129E">
        <w:t>460.2.8.3.1.4  Department</w:t>
      </w:r>
      <w:proofErr w:type="gramEnd"/>
      <w:r w:rsidRPr="00F4129E">
        <w:t xml:space="preserve"> Verification Testing Requirements</w:t>
      </w:r>
    </w:p>
    <w:p w14:paraId="71D56CAA" w14:textId="496D4389" w:rsidR="00ED386E" w:rsidRDefault="00ED386E" w:rsidP="00ED386E">
      <w:pPr>
        <w:pStyle w:val="wiAnnotation"/>
      </w:pPr>
      <w:proofErr w:type="gramStart"/>
      <w:r>
        <w:t>460.2.8.3.1.4  Add</w:t>
      </w:r>
      <w:proofErr w:type="gramEnd"/>
      <w:r>
        <w:t xml:space="preserve"> via ASP</w:t>
      </w:r>
      <w:r w:rsidR="00A74838">
        <w:t>-</w:t>
      </w:r>
      <w:r>
        <w:t xml:space="preserve">6 </w:t>
      </w:r>
      <w:r w:rsidR="00A74838">
        <w:t>with</w:t>
      </w:r>
      <w:r>
        <w:t xml:space="preserve"> November 2023 LET. Add test method information if using ignition oven to determine AC.</w:t>
      </w:r>
    </w:p>
    <w:p w14:paraId="4D6C0BCD" w14:textId="77777777" w:rsidR="00631DFD" w:rsidRPr="00F4129E" w:rsidRDefault="00631DFD" w:rsidP="00631DFD">
      <w:pPr>
        <w:pStyle w:val="wiParagraph"/>
      </w:pPr>
      <w:r w:rsidRPr="00F4129E">
        <w:tab/>
      </w:r>
      <w:r w:rsidRPr="00F4129E">
        <w:rPr>
          <w:rStyle w:val="wiParagraphNumber"/>
        </w:rPr>
        <w:t>(1)</w:t>
      </w:r>
      <w:r w:rsidRPr="00F4129E">
        <w:tab/>
      </w:r>
      <w:proofErr w:type="spellStart"/>
      <w:r w:rsidRPr="00F4129E">
        <w:t>HTCP</w:t>
      </w:r>
      <w:proofErr w:type="spellEnd"/>
      <w:r w:rsidRPr="00F4129E">
        <w:t xml:space="preserve">-certified department personnel will obtain random samples by directly supervising </w:t>
      </w:r>
      <w:proofErr w:type="spellStart"/>
      <w:r w:rsidRPr="00F4129E">
        <w:t>HTCP</w:t>
      </w:r>
      <w:proofErr w:type="spellEnd"/>
      <w:r w:rsidRPr="00F4129E">
        <w:t xml:space="preserve">-certified contractor personnel sampling from trucks at the plant. The department will sample according to </w:t>
      </w:r>
      <w:proofErr w:type="spellStart"/>
      <w:r w:rsidRPr="00F4129E">
        <w:rPr>
          <w:rStyle w:val="wiLink"/>
        </w:rPr>
        <w:t>CMM</w:t>
      </w:r>
      <w:proofErr w:type="spellEnd"/>
      <w:r w:rsidRPr="00F4129E">
        <w:rPr>
          <w:rStyle w:val="wiLink"/>
        </w:rPr>
        <w:t xml:space="preserve"> 836</w:t>
      </w:r>
      <w:r w:rsidRPr="00F4129E">
        <w:t xml:space="preserve">. Sample size must be adequate to run the appropriate required tests in addition to one </w:t>
      </w:r>
      <w:r w:rsidRPr="00F4129E">
        <w:lastRenderedPageBreak/>
        <w:t>set of duplicate tests that may be required for dispute resolution. The engineer will split the sample for testing and retain the remaining portion for additional testing if needed.</w:t>
      </w:r>
    </w:p>
    <w:p w14:paraId="450D852C" w14:textId="77777777" w:rsidR="00631DFD" w:rsidRPr="00F4129E" w:rsidRDefault="00631DFD" w:rsidP="00631DFD">
      <w:pPr>
        <w:pStyle w:val="wiParagraph"/>
      </w:pPr>
      <w:r w:rsidRPr="00F4129E">
        <w:tab/>
      </w:r>
      <w:r w:rsidRPr="00F4129E">
        <w:rPr>
          <w:rStyle w:val="wiParagraphNumber"/>
        </w:rPr>
        <w:t>(2)</w:t>
      </w:r>
      <w:r w:rsidRPr="00F4129E">
        <w:tab/>
        <w:t xml:space="preserve">The department will verify product quality using the test methods specified in 460.2.8.3.1.4(3), other engineer-approved methods, or other methods the industry and department </w:t>
      </w:r>
      <w:proofErr w:type="spellStart"/>
      <w:r w:rsidRPr="00F4129E">
        <w:t>HMA</w:t>
      </w:r>
      <w:proofErr w:type="spellEnd"/>
      <w:r w:rsidRPr="00F4129E">
        <w:t xml:space="preserve"> technical team recognizes. The department will identify test methods before construction starts and use only those methods during production of that material unless the engineer and contractor mutually agree otherwise.</w:t>
      </w:r>
    </w:p>
    <w:p w14:paraId="32BAD0B0" w14:textId="77777777" w:rsidR="00631DFD" w:rsidRPr="00F4129E" w:rsidRDefault="00631DFD" w:rsidP="00631DFD">
      <w:pPr>
        <w:pStyle w:val="wiParagraph"/>
      </w:pPr>
      <w:r w:rsidRPr="00F4129E">
        <w:tab/>
      </w:r>
      <w:r w:rsidRPr="00F4129E">
        <w:rPr>
          <w:rStyle w:val="wiParagraphNumber"/>
        </w:rPr>
        <w:t>(3)</w:t>
      </w:r>
      <w:r w:rsidRPr="00F4129E">
        <w:tab/>
        <w:t>The department will perform testing conforming to the following standards:</w:t>
      </w:r>
    </w:p>
    <w:p w14:paraId="43E4B266" w14:textId="62A179AE" w:rsidR="00631DFD" w:rsidRPr="00F4129E" w:rsidRDefault="00631DFD" w:rsidP="00631DFD">
      <w:pPr>
        <w:pStyle w:val="wiParagraphIndent"/>
      </w:pPr>
      <w:r w:rsidRPr="00F4129E">
        <w:t>Bulk specific gravity (</w:t>
      </w:r>
      <w:proofErr w:type="spellStart"/>
      <w:r w:rsidRPr="00F4129E">
        <w:t>G</w:t>
      </w:r>
      <w:r w:rsidRPr="00F4129E">
        <w:rPr>
          <w:vertAlign w:val="subscript"/>
        </w:rPr>
        <w:t>mb</w:t>
      </w:r>
      <w:proofErr w:type="spellEnd"/>
      <w:r w:rsidRPr="00F4129E">
        <w:t xml:space="preserve">) of the compacted mixture according to </w:t>
      </w:r>
      <w:r w:rsidR="00726D34" w:rsidRPr="002664E9">
        <w:rPr>
          <w:rStyle w:val="wiLink"/>
        </w:rPr>
        <w:t>W</w:t>
      </w:r>
      <w:r w:rsidRPr="002664E9">
        <w:rPr>
          <w:rStyle w:val="wiLink"/>
        </w:rPr>
        <w:t>T</w:t>
      </w:r>
      <w:r w:rsidR="00726D34" w:rsidRPr="002664E9">
        <w:rPr>
          <w:rStyle w:val="wiLink"/>
        </w:rPr>
        <w:t>M</w:t>
      </w:r>
      <w:r w:rsidRPr="002664E9">
        <w:rPr>
          <w:rStyle w:val="wiLink"/>
        </w:rPr>
        <w:t xml:space="preserve"> T166</w:t>
      </w:r>
      <w:r w:rsidRPr="00F4129E">
        <w:t>.</w:t>
      </w:r>
    </w:p>
    <w:p w14:paraId="379CD151" w14:textId="31B3B91C" w:rsidR="00631DFD" w:rsidRPr="000E515B" w:rsidRDefault="00631DFD" w:rsidP="00631DFD">
      <w:pPr>
        <w:pStyle w:val="wiParagraphIndent"/>
      </w:pPr>
      <w:r w:rsidRPr="00F4129E">
        <w:t>Maximum specific gravity (</w:t>
      </w:r>
      <w:proofErr w:type="spellStart"/>
      <w:r w:rsidRPr="00F4129E">
        <w:t>G</w:t>
      </w:r>
      <w:r w:rsidRPr="00F4129E">
        <w:rPr>
          <w:vertAlign w:val="subscript"/>
        </w:rPr>
        <w:t>mm</w:t>
      </w:r>
      <w:proofErr w:type="spellEnd"/>
      <w:r w:rsidRPr="00F4129E">
        <w:t xml:space="preserve">) according </w:t>
      </w:r>
      <w:r w:rsidRPr="000E515B">
        <w:t xml:space="preserve">to </w:t>
      </w:r>
      <w:r w:rsidR="00726D34" w:rsidRPr="000E515B">
        <w:t>W</w:t>
      </w:r>
      <w:r w:rsidRPr="000E515B">
        <w:t>T</w:t>
      </w:r>
      <w:r w:rsidR="00726D34" w:rsidRPr="000E515B">
        <w:t>M</w:t>
      </w:r>
      <w:r w:rsidRPr="000E515B">
        <w:t xml:space="preserve"> T209.</w:t>
      </w:r>
    </w:p>
    <w:p w14:paraId="1616D73C" w14:textId="0AAC67AF" w:rsidR="00631DFD" w:rsidRPr="000E515B" w:rsidRDefault="00631DFD" w:rsidP="00631DFD">
      <w:pPr>
        <w:pStyle w:val="wiParagraphIndent"/>
      </w:pPr>
      <w:r w:rsidRPr="000E515B">
        <w:t>Air voids (</w:t>
      </w:r>
      <w:proofErr w:type="spellStart"/>
      <w:r w:rsidRPr="000E515B">
        <w:t>Va</w:t>
      </w:r>
      <w:proofErr w:type="spellEnd"/>
      <w:r w:rsidRPr="000E515B">
        <w:t xml:space="preserve">) by calculation according to </w:t>
      </w:r>
      <w:r w:rsidR="00726D34" w:rsidRPr="002664E9">
        <w:rPr>
          <w:rStyle w:val="wiLink"/>
        </w:rPr>
        <w:t>W</w:t>
      </w:r>
      <w:r w:rsidRPr="002664E9">
        <w:rPr>
          <w:rStyle w:val="wiLink"/>
        </w:rPr>
        <w:t>T</w:t>
      </w:r>
      <w:r w:rsidR="00726D34" w:rsidRPr="002664E9">
        <w:rPr>
          <w:rStyle w:val="wiLink"/>
        </w:rPr>
        <w:t>M</w:t>
      </w:r>
      <w:r w:rsidRPr="002664E9">
        <w:rPr>
          <w:rStyle w:val="wiLink"/>
        </w:rPr>
        <w:t xml:space="preserve"> T269</w:t>
      </w:r>
      <w:r w:rsidRPr="000E515B">
        <w:t>.</w:t>
      </w:r>
    </w:p>
    <w:p w14:paraId="054BE53A" w14:textId="08E8DF44" w:rsidR="00631DFD" w:rsidRPr="000E515B" w:rsidRDefault="00631DFD" w:rsidP="00631DFD">
      <w:pPr>
        <w:pStyle w:val="wiParagraphIndent"/>
      </w:pPr>
      <w:r w:rsidRPr="000E515B">
        <w:t xml:space="preserve">VMA by calculation according to </w:t>
      </w:r>
      <w:r w:rsidR="000124D6" w:rsidRPr="002664E9">
        <w:rPr>
          <w:rStyle w:val="wiLink"/>
        </w:rPr>
        <w:t>W</w:t>
      </w:r>
      <w:r w:rsidRPr="002664E9">
        <w:rPr>
          <w:rStyle w:val="wiLink"/>
        </w:rPr>
        <w:t>T</w:t>
      </w:r>
      <w:r w:rsidR="000124D6" w:rsidRPr="002664E9">
        <w:rPr>
          <w:rStyle w:val="wiLink"/>
        </w:rPr>
        <w:t>M</w:t>
      </w:r>
      <w:r w:rsidRPr="002664E9">
        <w:rPr>
          <w:rStyle w:val="wiLink"/>
        </w:rPr>
        <w:t xml:space="preserve"> R35</w:t>
      </w:r>
      <w:r w:rsidRPr="000E515B">
        <w:t>.</w:t>
      </w:r>
    </w:p>
    <w:p w14:paraId="4BA5A009" w14:textId="4375F6E6" w:rsidR="00631DFD" w:rsidRDefault="00631DFD" w:rsidP="00631DFD">
      <w:pPr>
        <w:pStyle w:val="wiParagraphIndent"/>
      </w:pPr>
      <w:r w:rsidRPr="000E515B">
        <w:t xml:space="preserve">Asphalt content by ignition oven according to </w:t>
      </w:r>
      <w:r w:rsidR="00726D34" w:rsidRPr="00ED386E">
        <w:rPr>
          <w:rStyle w:val="wiLink"/>
        </w:rPr>
        <w:t>W</w:t>
      </w:r>
      <w:r w:rsidRPr="00ED386E">
        <w:rPr>
          <w:rStyle w:val="wiLink"/>
        </w:rPr>
        <w:t>T</w:t>
      </w:r>
      <w:r w:rsidR="00726D34" w:rsidRPr="00ED386E">
        <w:rPr>
          <w:rStyle w:val="wiLink"/>
        </w:rPr>
        <w:t>M</w:t>
      </w:r>
      <w:r w:rsidRPr="00ED386E">
        <w:rPr>
          <w:rStyle w:val="wiLink"/>
        </w:rPr>
        <w:t xml:space="preserve"> T308</w:t>
      </w:r>
      <w:r w:rsidRPr="000E515B">
        <w:t xml:space="preserve">, chemical extraction according to </w:t>
      </w:r>
      <w:r w:rsidRPr="00ED386E">
        <w:rPr>
          <w:rStyle w:val="wiLink"/>
        </w:rPr>
        <w:t>AASHTO T-164</w:t>
      </w:r>
      <w:r w:rsidRPr="000E515B">
        <w:t xml:space="preserve"> method A or B, or automated extraction according to </w:t>
      </w:r>
      <w:r w:rsidR="00726D34" w:rsidRPr="00ED386E">
        <w:rPr>
          <w:rStyle w:val="wiLink"/>
        </w:rPr>
        <w:t>W</w:t>
      </w:r>
      <w:r w:rsidRPr="00ED386E">
        <w:rPr>
          <w:rStyle w:val="wiLink"/>
        </w:rPr>
        <w:t>TM D8159</w:t>
      </w:r>
      <w:r w:rsidRPr="000E515B">
        <w:t>.</w:t>
      </w:r>
      <w:r w:rsidR="00ED386E">
        <w:t xml:space="preserve"> </w:t>
      </w:r>
      <w:r w:rsidR="00ED386E" w:rsidRPr="00ED386E">
        <w:rPr>
          <w:highlight w:val="green"/>
        </w:rPr>
        <w:t xml:space="preserve">If using an ignition oven to determine AC, conform to </w:t>
      </w:r>
      <w:r w:rsidR="00ED386E" w:rsidRPr="00ED386E">
        <w:rPr>
          <w:rStyle w:val="wiLink"/>
          <w:highlight w:val="green"/>
        </w:rPr>
        <w:t>WTP H-003</w:t>
      </w:r>
      <w:r w:rsidR="00ED386E" w:rsidRPr="00ED386E">
        <w:rPr>
          <w:highlight w:val="green"/>
        </w:rPr>
        <w:t>.</w:t>
      </w:r>
    </w:p>
    <w:p w14:paraId="2BF95B6D" w14:textId="77777777" w:rsidR="00631DFD" w:rsidRPr="00F4129E" w:rsidRDefault="00631DFD" w:rsidP="00631DFD">
      <w:pPr>
        <w:pStyle w:val="wiParagraph"/>
      </w:pPr>
      <w:r w:rsidRPr="00F4129E">
        <w:tab/>
      </w:r>
      <w:r w:rsidRPr="00F4129E">
        <w:rPr>
          <w:rStyle w:val="wiParagraphNumber"/>
        </w:rPr>
        <w:t>(4)</w:t>
      </w:r>
      <w:r w:rsidRPr="00F4129E">
        <w:tab/>
        <w:t>The department will randomly test each design mixture at the following minimum frequency:</w:t>
      </w:r>
    </w:p>
    <w:p w14:paraId="18353C7E" w14:textId="123BDAC4" w:rsidR="00631DFD" w:rsidRPr="00052A5F" w:rsidRDefault="00631DFD" w:rsidP="00631DFD">
      <w:pPr>
        <w:pStyle w:val="wiLeaderHead"/>
        <w:rPr>
          <w:u w:val="single"/>
        </w:rPr>
      </w:pPr>
      <w:r w:rsidRPr="00052A5F">
        <w:rPr>
          <w:u w:val="single"/>
        </w:rPr>
        <w:t>FOR TONNAGES TOTALING:</w:t>
      </w:r>
    </w:p>
    <w:p w14:paraId="4D5E63B9" w14:textId="77777777" w:rsidR="00631DFD" w:rsidRPr="00F4129E" w:rsidRDefault="00631DFD" w:rsidP="00631DFD">
      <w:pPr>
        <w:pStyle w:val="wiLeader"/>
      </w:pPr>
      <w:r w:rsidRPr="00F4129E">
        <w:t>Less than 501 tons</w:t>
      </w:r>
      <w:r w:rsidRPr="00F4129E">
        <w:tab/>
        <w:t>no tests required</w:t>
      </w:r>
    </w:p>
    <w:p w14:paraId="392481A8" w14:textId="77777777" w:rsidR="00631DFD" w:rsidRPr="00F4129E" w:rsidRDefault="00631DFD" w:rsidP="00631DFD">
      <w:pPr>
        <w:pStyle w:val="wiLeader"/>
      </w:pPr>
      <w:r w:rsidRPr="00F4129E">
        <w:t>From 501 to 5,000 tons</w:t>
      </w:r>
      <w:r w:rsidRPr="00F4129E">
        <w:tab/>
        <w:t>one test</w:t>
      </w:r>
    </w:p>
    <w:p w14:paraId="488ECE84" w14:textId="77777777" w:rsidR="00631DFD" w:rsidRPr="00F4129E" w:rsidRDefault="00631DFD" w:rsidP="00631DFD">
      <w:pPr>
        <w:pStyle w:val="wiLeader"/>
      </w:pPr>
      <w:r w:rsidRPr="00F4129E">
        <w:t>More than 5,000 tons</w:t>
      </w:r>
      <w:r w:rsidRPr="00F4129E">
        <w:tab/>
        <w:t>add one test for each additional 5,000-ton increment</w:t>
      </w:r>
    </w:p>
    <w:p w14:paraId="2995788B" w14:textId="77777777" w:rsidR="00631DFD" w:rsidRPr="00F4129E" w:rsidRDefault="00631DFD" w:rsidP="00631DFD">
      <w:pPr>
        <w:pStyle w:val="wiHeading5"/>
      </w:pPr>
      <w:proofErr w:type="gramStart"/>
      <w:r w:rsidRPr="00F4129E">
        <w:t>460.2.8.3.1.5  Documentation</w:t>
      </w:r>
      <w:proofErr w:type="gramEnd"/>
    </w:p>
    <w:p w14:paraId="663E371F" w14:textId="77777777" w:rsidR="00631DFD" w:rsidRPr="00F4129E" w:rsidRDefault="00631DFD" w:rsidP="00631DFD">
      <w:pPr>
        <w:pStyle w:val="wiParagraph"/>
      </w:pPr>
      <w:r w:rsidRPr="00F4129E">
        <w:tab/>
      </w:r>
      <w:r w:rsidRPr="00F4129E">
        <w:rPr>
          <w:rStyle w:val="wiParagraphNumber"/>
        </w:rPr>
        <w:t>(1)</w:t>
      </w:r>
      <w:r w:rsidRPr="00F4129E">
        <w:tab/>
        <w:t>The engineer will document observations during QV sampling, and review QC mixture adjustments and QC test results daily. The engineer will note results of observations and inspection records in a permanent field record as they occur.</w:t>
      </w:r>
    </w:p>
    <w:p w14:paraId="7BD59D2A" w14:textId="77777777" w:rsidR="00631DFD" w:rsidRPr="00F4129E" w:rsidRDefault="00631DFD" w:rsidP="00631DFD">
      <w:pPr>
        <w:pStyle w:val="wiHeading5"/>
      </w:pPr>
      <w:proofErr w:type="gramStart"/>
      <w:r w:rsidRPr="00F4129E">
        <w:t>460.2.8.3.1.6  Acceptable</w:t>
      </w:r>
      <w:proofErr w:type="gramEnd"/>
      <w:r w:rsidRPr="00F4129E">
        <w:t xml:space="preserve"> Verification Parameters</w:t>
      </w:r>
    </w:p>
    <w:p w14:paraId="4CFB4C98" w14:textId="77777777" w:rsidR="00631DFD" w:rsidRPr="00F4129E" w:rsidRDefault="00631DFD" w:rsidP="00631DFD">
      <w:pPr>
        <w:pStyle w:val="wiParagraph"/>
      </w:pPr>
      <w:r w:rsidRPr="00F4129E">
        <w:tab/>
      </w:r>
      <w:r w:rsidRPr="00F4129E">
        <w:rPr>
          <w:rStyle w:val="wiParagraphNumber"/>
        </w:rPr>
        <w:t>(1)</w:t>
      </w:r>
      <w:r w:rsidRPr="00F4129E">
        <w:tab/>
        <w:t>The engineer will provide test results to the contractor within 2 mixture-production days after obtaining the sample. The quality of the product is acceptably verified if it meets the following limits:</w:t>
      </w:r>
    </w:p>
    <w:p w14:paraId="5FB63244" w14:textId="77777777" w:rsidR="00631DFD" w:rsidRPr="00F4129E" w:rsidRDefault="00631DFD" w:rsidP="00631DFD">
      <w:pPr>
        <w:pStyle w:val="wiBullet1"/>
      </w:pPr>
      <w:r w:rsidRPr="00F4129E">
        <w:t>-</w:t>
      </w:r>
      <w:r w:rsidRPr="00F4129E">
        <w:tab/>
      </w:r>
      <w:proofErr w:type="spellStart"/>
      <w:r w:rsidRPr="00F4129E">
        <w:t>Va</w:t>
      </w:r>
      <w:proofErr w:type="spellEnd"/>
      <w:r w:rsidRPr="00F4129E">
        <w:t xml:space="preserve"> is within a range of 2.0 to 4.3 percent. For </w:t>
      </w:r>
      <w:proofErr w:type="spellStart"/>
      <w:r w:rsidRPr="00F4129E">
        <w:t>SMA</w:t>
      </w:r>
      <w:proofErr w:type="spellEnd"/>
      <w:r w:rsidRPr="00F4129E">
        <w:t xml:space="preserve">, </w:t>
      </w:r>
      <w:proofErr w:type="spellStart"/>
      <w:r w:rsidRPr="00F4129E">
        <w:t>Va</w:t>
      </w:r>
      <w:proofErr w:type="spellEnd"/>
      <w:r w:rsidRPr="00F4129E">
        <w:t xml:space="preserve"> is within a range of 3.2 to 5.8 percent.</w:t>
      </w:r>
    </w:p>
    <w:p w14:paraId="6BB34CBE" w14:textId="77777777" w:rsidR="00631DFD" w:rsidRPr="00F4129E" w:rsidRDefault="00631DFD" w:rsidP="00631DFD">
      <w:pPr>
        <w:pStyle w:val="wiBullet1"/>
      </w:pPr>
      <w:r w:rsidRPr="00F4129E">
        <w:t>-</w:t>
      </w:r>
      <w:r w:rsidRPr="00F4129E">
        <w:tab/>
        <w:t xml:space="preserve">VMA is within minus 0.5 of the minimum </w:t>
      </w:r>
      <w:proofErr w:type="gramStart"/>
      <w:r w:rsidRPr="00F4129E">
        <w:t>requirement</w:t>
      </w:r>
      <w:proofErr w:type="gramEnd"/>
      <w:r w:rsidRPr="00F4129E">
        <w:t xml:space="preserve"> for the mixture design nominal maximum aggregate size.</w:t>
      </w:r>
    </w:p>
    <w:p w14:paraId="58940065" w14:textId="77777777" w:rsidR="00631DFD" w:rsidRPr="00F4129E" w:rsidRDefault="00631DFD" w:rsidP="00631DFD">
      <w:pPr>
        <w:pStyle w:val="wiBullet1"/>
      </w:pPr>
      <w:r w:rsidRPr="00F4129E">
        <w:t>-</w:t>
      </w:r>
      <w:r w:rsidRPr="00F4129E">
        <w:tab/>
        <w:t xml:space="preserve">Asphalt content is within minus 0.3 percent of the </w:t>
      </w:r>
      <w:proofErr w:type="spellStart"/>
      <w:r w:rsidRPr="00F4129E">
        <w:t>JMF</w:t>
      </w:r>
      <w:proofErr w:type="spellEnd"/>
      <w:r w:rsidRPr="00F4129E">
        <w:t>.</w:t>
      </w:r>
    </w:p>
    <w:p w14:paraId="40E007C5" w14:textId="77777777" w:rsidR="00631DFD" w:rsidRPr="00F4129E" w:rsidRDefault="00631DFD" w:rsidP="00631DFD">
      <w:pPr>
        <w:pStyle w:val="wiParagraph"/>
      </w:pPr>
      <w:r w:rsidRPr="00F4129E">
        <w:tab/>
      </w:r>
      <w:r w:rsidRPr="00F4129E">
        <w:rPr>
          <w:rStyle w:val="wiParagraphNumber"/>
        </w:rPr>
        <w:t>(2)</w:t>
      </w:r>
      <w:r w:rsidRPr="00F4129E">
        <w:tab/>
        <w:t>If QV test results are outside the specified limits, the engineer will investigate immediately through dispute resolution procedures. The engineer may stop production while the investigation is in progress if the potential for a pavement failure is present.</w:t>
      </w:r>
    </w:p>
    <w:p w14:paraId="6D96EBAD" w14:textId="77777777" w:rsidR="00631DFD" w:rsidRPr="00F4129E" w:rsidRDefault="00631DFD" w:rsidP="00631DFD">
      <w:pPr>
        <w:pStyle w:val="wiParagraph"/>
      </w:pPr>
      <w:r w:rsidRPr="00F4129E">
        <w:tab/>
      </w:r>
      <w:r w:rsidRPr="00F4129E">
        <w:rPr>
          <w:rStyle w:val="wiParagraphNumber"/>
        </w:rPr>
        <w:t>(3)</w:t>
      </w:r>
      <w:r w:rsidRPr="00F4129E">
        <w:tab/>
        <w:t xml:space="preserve">If production continues for that mixture design, the engineer will provide additional retained sample testing at the frequency provided for in </w:t>
      </w:r>
      <w:proofErr w:type="spellStart"/>
      <w:r w:rsidRPr="00F4129E">
        <w:rPr>
          <w:rStyle w:val="wiLink"/>
        </w:rPr>
        <w:t>CMM</w:t>
      </w:r>
      <w:proofErr w:type="spellEnd"/>
      <w:r w:rsidRPr="00F4129E">
        <w:rPr>
          <w:rStyle w:val="wiLink"/>
        </w:rPr>
        <w:t xml:space="preserve"> 836</w:t>
      </w:r>
      <w:r w:rsidRPr="00F4129E">
        <w:t>. This supplemental testing will continue until the material meets allowable differences or as the engineer and contractor mutually agree.</w:t>
      </w:r>
    </w:p>
    <w:p w14:paraId="51DC4741" w14:textId="77777777" w:rsidR="00631DFD" w:rsidRPr="00F4129E" w:rsidRDefault="00631DFD" w:rsidP="00631DFD">
      <w:pPr>
        <w:pStyle w:val="wiHeading5"/>
      </w:pPr>
      <w:proofErr w:type="gramStart"/>
      <w:r w:rsidRPr="00F4129E">
        <w:t>460.2.8.3.1.7  Dispute</w:t>
      </w:r>
      <w:proofErr w:type="gramEnd"/>
      <w:r w:rsidRPr="00F4129E">
        <w:t xml:space="preserve"> Resolution</w:t>
      </w:r>
    </w:p>
    <w:p w14:paraId="0AA668C0" w14:textId="77777777" w:rsidR="00631DFD" w:rsidRPr="00F4129E" w:rsidRDefault="00631DFD" w:rsidP="00631DFD">
      <w:pPr>
        <w:pStyle w:val="wiParagraph"/>
      </w:pPr>
      <w:r w:rsidRPr="00F4129E">
        <w:tab/>
      </w:r>
      <w:r w:rsidRPr="00F4129E">
        <w:rPr>
          <w:rStyle w:val="wiParagraphNumber"/>
        </w:rPr>
        <w:t>(1)</w:t>
      </w:r>
      <w:r w:rsidRPr="00F4129E">
        <w:tab/>
        <w:t xml:space="preserve">When QV test results do not meet the specified limits for 100 percent pay, the BTS AASHTO accredited laboratory and certified personnel will referee test the retained portion of the QV sample and the retained portion of the required forward and backward QC retained samples according to </w:t>
      </w:r>
      <w:proofErr w:type="spellStart"/>
      <w:r w:rsidRPr="00F4129E">
        <w:rPr>
          <w:rStyle w:val="wiLink"/>
        </w:rPr>
        <w:t>CMM</w:t>
      </w:r>
      <w:proofErr w:type="spellEnd"/>
      <w:r w:rsidRPr="00F4129E">
        <w:rPr>
          <w:rStyle w:val="wiLink"/>
        </w:rPr>
        <w:t xml:space="preserve"> 836</w:t>
      </w:r>
      <w:r w:rsidRPr="00F4129E">
        <w:t>.</w:t>
      </w:r>
    </w:p>
    <w:p w14:paraId="2D0D42F3" w14:textId="77777777" w:rsidR="00631DFD" w:rsidRPr="00F4129E" w:rsidRDefault="00631DFD" w:rsidP="00631DFD">
      <w:pPr>
        <w:pStyle w:val="wiParagraph"/>
      </w:pPr>
      <w:r w:rsidRPr="00F4129E">
        <w:tab/>
      </w:r>
      <w:r w:rsidRPr="00F4129E">
        <w:rPr>
          <w:rStyle w:val="wiParagraphNumber"/>
        </w:rPr>
        <w:t>(2)</w:t>
      </w:r>
      <w:r w:rsidRPr="00F4129E">
        <w:tab/>
        <w:t>The department will notify the contractor of the referee test results within 3 business days after receipt of the samples.</w:t>
      </w:r>
    </w:p>
    <w:p w14:paraId="70CE3CC4" w14:textId="77777777" w:rsidR="00631DFD" w:rsidRPr="00F4129E" w:rsidRDefault="00631DFD" w:rsidP="00631DFD">
      <w:pPr>
        <w:pStyle w:val="wiParagraph"/>
      </w:pPr>
      <w:r w:rsidRPr="00F4129E">
        <w:tab/>
      </w:r>
      <w:r w:rsidRPr="00F4129E">
        <w:rPr>
          <w:rStyle w:val="wiParagraphNumber"/>
        </w:rPr>
        <w:t>(3)</w:t>
      </w:r>
      <w:r w:rsidRPr="00F4129E">
        <w:tab/>
        <w:t xml:space="preserve">The department will determine mixture conformance and acceptability by analyzing referee test results, reviewing mixture project data, and inspecting the completed pavement according to </w:t>
      </w:r>
      <w:proofErr w:type="spellStart"/>
      <w:r w:rsidRPr="00F4129E">
        <w:rPr>
          <w:rStyle w:val="wiLink"/>
        </w:rPr>
        <w:t>CMM</w:t>
      </w:r>
      <w:proofErr w:type="spellEnd"/>
      <w:r w:rsidRPr="00F4129E">
        <w:rPr>
          <w:rStyle w:val="wiLink"/>
        </w:rPr>
        <w:t xml:space="preserve"> 836</w:t>
      </w:r>
      <w:r w:rsidRPr="00F4129E">
        <w:t>.</w:t>
      </w:r>
    </w:p>
    <w:p w14:paraId="32FE18E6" w14:textId="77777777" w:rsidR="00631DFD" w:rsidRPr="00F4129E" w:rsidRDefault="00631DFD" w:rsidP="00631DFD">
      <w:pPr>
        <w:pStyle w:val="wiHeading5"/>
      </w:pPr>
      <w:proofErr w:type="gramStart"/>
      <w:r w:rsidRPr="00F4129E">
        <w:t>460.2.8.3.1.8  Corrective</w:t>
      </w:r>
      <w:proofErr w:type="gramEnd"/>
      <w:r w:rsidRPr="00F4129E">
        <w:t xml:space="preserve"> Action</w:t>
      </w:r>
    </w:p>
    <w:p w14:paraId="590E0665" w14:textId="77777777" w:rsidR="00631DFD" w:rsidRPr="00F4129E" w:rsidRDefault="00631DFD" w:rsidP="00631DFD">
      <w:pPr>
        <w:pStyle w:val="wiParagraph"/>
      </w:pPr>
      <w:r w:rsidRPr="00F4129E">
        <w:tab/>
      </w:r>
      <w:r w:rsidRPr="00F4129E">
        <w:rPr>
          <w:rStyle w:val="wiParagraphNumber"/>
        </w:rPr>
        <w:t>(1)</w:t>
      </w:r>
      <w:r w:rsidRPr="00F4129E">
        <w:tab/>
        <w:t>Remove and replace unacceptable material.</w:t>
      </w:r>
    </w:p>
    <w:p w14:paraId="0A183E8A" w14:textId="77777777" w:rsidR="00631DFD" w:rsidRPr="00F4129E" w:rsidRDefault="00631DFD" w:rsidP="00631DFD">
      <w:pPr>
        <w:pStyle w:val="wiParagraph"/>
      </w:pPr>
      <w:r w:rsidRPr="00F4129E">
        <w:tab/>
      </w:r>
      <w:r w:rsidRPr="00F4129E">
        <w:rPr>
          <w:rStyle w:val="wiParagraphNumber"/>
        </w:rPr>
        <w:t>(2)</w:t>
      </w:r>
      <w:r w:rsidRPr="00F4129E">
        <w:tab/>
        <w:t xml:space="preserve">The department will reduce pay for the tonnage of nonconforming mixture, as determined during QV dispute resolution, if the engineer allows that mixture to remain in place. If production of that mixture design continued during the investigation, the department will also adjust pay for that mixture forward to the next conforming QV or QC point. The department will pay for the affected mixture as specified in </w:t>
      </w:r>
      <w:r w:rsidRPr="00F4129E">
        <w:rPr>
          <w:rStyle w:val="wiLink"/>
        </w:rPr>
        <w:t>460.5.2.1</w:t>
      </w:r>
      <w:r w:rsidRPr="00F4129E">
        <w:t>.</w:t>
      </w:r>
    </w:p>
    <w:p w14:paraId="5F23F28C" w14:textId="77777777" w:rsidR="00631DFD" w:rsidRPr="00F4129E" w:rsidRDefault="00631DFD" w:rsidP="00631DFD">
      <w:pPr>
        <w:pStyle w:val="wiParagraph"/>
      </w:pPr>
      <w:r w:rsidRPr="00F4129E">
        <w:lastRenderedPageBreak/>
        <w:tab/>
      </w:r>
      <w:r w:rsidRPr="00F4129E">
        <w:rPr>
          <w:rStyle w:val="wiParagraphNumber"/>
        </w:rPr>
        <w:t>(3)</w:t>
      </w:r>
      <w:r w:rsidRPr="00F4129E">
        <w:tab/>
        <w:t xml:space="preserve">Remove and replace areas of </w:t>
      </w:r>
      <w:proofErr w:type="spellStart"/>
      <w:r w:rsidRPr="00F4129E">
        <w:t>SMA</w:t>
      </w:r>
      <w:proofErr w:type="spellEnd"/>
      <w:r w:rsidRPr="00F4129E">
        <w:t xml:space="preserve"> where excessive bleeding problems, fat spots, or segregation occur. If these areas are identified before or during inspection of the completed pavement, the department will determine the amount of material affected. If the contractor disputes the engineer's assessment, the engineer will refer the dispute to BTS. If disputed, the engineer will document the areas of affected pavement within 24 hours of identification and provide that documentation to BTS as soon as available. The engineer's documentation will include but is not limited to the following:</w:t>
      </w:r>
    </w:p>
    <w:p w14:paraId="011CCA77" w14:textId="77777777" w:rsidR="00631DFD" w:rsidRPr="00F4129E" w:rsidRDefault="00631DFD" w:rsidP="00631DFD">
      <w:pPr>
        <w:pStyle w:val="wiBullet1"/>
      </w:pPr>
      <w:r w:rsidRPr="00F4129E">
        <w:t>-</w:t>
      </w:r>
      <w:r w:rsidRPr="00F4129E">
        <w:tab/>
        <w:t>Pictures of the material in question.</w:t>
      </w:r>
    </w:p>
    <w:p w14:paraId="488FF665" w14:textId="77777777" w:rsidR="00631DFD" w:rsidRPr="00F4129E" w:rsidRDefault="00631DFD" w:rsidP="00631DFD">
      <w:pPr>
        <w:pStyle w:val="wiBullet1"/>
      </w:pPr>
      <w:r w:rsidRPr="00F4129E">
        <w:t>-</w:t>
      </w:r>
      <w:r w:rsidRPr="00F4129E">
        <w:tab/>
        <w:t>Station locations.</w:t>
      </w:r>
    </w:p>
    <w:p w14:paraId="55EC5F40" w14:textId="77777777" w:rsidR="00631DFD" w:rsidRPr="00F4129E" w:rsidRDefault="00631DFD" w:rsidP="00631DFD">
      <w:pPr>
        <w:pStyle w:val="wiBullet1"/>
      </w:pPr>
      <w:r w:rsidRPr="00F4129E">
        <w:t>-</w:t>
      </w:r>
      <w:r w:rsidRPr="00F4129E">
        <w:tab/>
        <w:t>Lanes affected.</w:t>
      </w:r>
    </w:p>
    <w:p w14:paraId="680F0864" w14:textId="77777777" w:rsidR="00631DFD" w:rsidRPr="00F4129E" w:rsidRDefault="00631DFD" w:rsidP="00631DFD">
      <w:pPr>
        <w:pStyle w:val="wiBullet1"/>
      </w:pPr>
      <w:r w:rsidRPr="00F4129E">
        <w:t>-</w:t>
      </w:r>
      <w:r w:rsidRPr="00F4129E">
        <w:tab/>
        <w:t>Length and width of the affected area.</w:t>
      </w:r>
    </w:p>
    <w:p w14:paraId="23C1E4FB" w14:textId="77777777" w:rsidR="00631DFD" w:rsidRPr="00F4129E" w:rsidRDefault="00631DFD" w:rsidP="00631DFD">
      <w:pPr>
        <w:pStyle w:val="wiBullet1"/>
      </w:pPr>
      <w:r w:rsidRPr="00F4129E">
        <w:t>-</w:t>
      </w:r>
      <w:r w:rsidRPr="00F4129E">
        <w:tab/>
        <w:t>Other relevant information.</w:t>
      </w:r>
    </w:p>
    <w:p w14:paraId="607A464D" w14:textId="77777777" w:rsidR="00631DFD" w:rsidRPr="00F4129E" w:rsidRDefault="00631DFD" w:rsidP="00631DFD">
      <w:pPr>
        <w:pStyle w:val="wiHeading4"/>
      </w:pPr>
      <w:proofErr w:type="gramStart"/>
      <w:r w:rsidRPr="00F4129E">
        <w:t>460.2.8.3.2  Independent</w:t>
      </w:r>
      <w:proofErr w:type="gramEnd"/>
      <w:r w:rsidRPr="00F4129E">
        <w:t xml:space="preserve"> Assurance Testing</w:t>
      </w:r>
    </w:p>
    <w:p w14:paraId="4DE7DF00" w14:textId="77777777" w:rsidR="00631DFD" w:rsidRPr="00F4129E" w:rsidRDefault="00631DFD" w:rsidP="00631DFD">
      <w:pPr>
        <w:pStyle w:val="wiParagraph"/>
      </w:pPr>
      <w:r w:rsidRPr="00F4129E">
        <w:tab/>
      </w:r>
      <w:r w:rsidRPr="00F4129E">
        <w:rPr>
          <w:rStyle w:val="wiParagraphNumber"/>
        </w:rPr>
        <w:t>(1)</w:t>
      </w:r>
      <w:r w:rsidRPr="00F4129E">
        <w:tab/>
        <w:t xml:space="preserve">The department will evaluate both the contractor and department testing personnel and equipment as specified in </w:t>
      </w:r>
      <w:r w:rsidRPr="00F4129E">
        <w:rPr>
          <w:rStyle w:val="wiLink"/>
        </w:rPr>
        <w:t>106.3.4.3.4</w:t>
      </w:r>
      <w:r w:rsidRPr="00F4129E">
        <w:t>.</w:t>
      </w:r>
    </w:p>
    <w:p w14:paraId="5362D379" w14:textId="77777777" w:rsidR="00631DFD" w:rsidRPr="00F4129E" w:rsidRDefault="00631DFD" w:rsidP="00631DFD">
      <w:pPr>
        <w:pStyle w:val="wiHeading1"/>
      </w:pPr>
      <w:proofErr w:type="gramStart"/>
      <w:r w:rsidRPr="00F4129E">
        <w:t>460.3  Construction</w:t>
      </w:r>
      <w:proofErr w:type="gramEnd"/>
    </w:p>
    <w:p w14:paraId="1157A5F2" w14:textId="77777777" w:rsidR="00631DFD" w:rsidRPr="00F4129E" w:rsidRDefault="00631DFD" w:rsidP="00631DFD">
      <w:pPr>
        <w:pStyle w:val="wiHeading2"/>
      </w:pPr>
      <w:proofErr w:type="gramStart"/>
      <w:r w:rsidRPr="00F4129E">
        <w:t>460.3.1  General</w:t>
      </w:r>
      <w:proofErr w:type="gramEnd"/>
    </w:p>
    <w:p w14:paraId="6A85F859" w14:textId="77777777" w:rsidR="00631DFD" w:rsidRPr="00F4129E" w:rsidRDefault="00631DFD" w:rsidP="00631DFD">
      <w:pPr>
        <w:pStyle w:val="wiParagraph"/>
      </w:pPr>
      <w:r w:rsidRPr="00F4129E">
        <w:tab/>
      </w:r>
      <w:r w:rsidRPr="00F4129E">
        <w:rPr>
          <w:rStyle w:val="wiParagraphNumber"/>
        </w:rPr>
        <w:t>(1)</w:t>
      </w:r>
      <w:r w:rsidRPr="00F4129E">
        <w:tab/>
        <w:t xml:space="preserve">Construct </w:t>
      </w:r>
      <w:proofErr w:type="spellStart"/>
      <w:r w:rsidRPr="00F4129E">
        <w:t>HMA</w:t>
      </w:r>
      <w:proofErr w:type="spellEnd"/>
      <w:r w:rsidRPr="00F4129E">
        <w:t xml:space="preserve"> pavement of the </w:t>
      </w:r>
      <w:proofErr w:type="gramStart"/>
      <w:r w:rsidRPr="00F4129E">
        <w:t>type</w:t>
      </w:r>
      <w:proofErr w:type="gramEnd"/>
      <w:r w:rsidRPr="00F4129E">
        <w:t xml:space="preserve"> the bid item indicates encoded as follows:</w:t>
      </w:r>
    </w:p>
    <w:p w14:paraId="30955A74" w14:textId="77777777" w:rsidR="00631DFD" w:rsidRPr="00F4129E" w:rsidRDefault="00631DFD" w:rsidP="00631DFD">
      <w:pPr>
        <w:pStyle w:val="wiTableTitle"/>
      </w:pPr>
      <w:r w:rsidRPr="00F4129E">
        <w:t>COMBINED BID ITEM ENCODING</w:t>
      </w:r>
    </w:p>
    <w:p w14:paraId="6CBBF219" w14:textId="77777777" w:rsidR="00631DFD" w:rsidRPr="00F4129E" w:rsidRDefault="00631DFD" w:rsidP="00631DFD">
      <w:pPr>
        <w:pStyle w:val="wiTableBuffer"/>
      </w:pPr>
    </w:p>
    <w:tbl>
      <w:tblPr>
        <w:tblW w:w="9360" w:type="dxa"/>
        <w:jc w:val="right"/>
        <w:tblBorders>
          <w:top w:val="single" w:sz="4" w:space="0" w:color="auto"/>
          <w:left w:val="single" w:sz="4" w:space="0" w:color="auto"/>
          <w:bottom w:val="single" w:sz="4" w:space="0" w:color="auto"/>
          <w:right w:val="single" w:sz="4" w:space="0" w:color="auto"/>
        </w:tblBorders>
        <w:tblCellMar>
          <w:left w:w="58" w:type="dxa"/>
          <w:right w:w="58" w:type="dxa"/>
        </w:tblCellMar>
        <w:tblLook w:val="04A0" w:firstRow="1" w:lastRow="0" w:firstColumn="1" w:lastColumn="0" w:noHBand="0" w:noVBand="1"/>
      </w:tblPr>
      <w:tblGrid>
        <w:gridCol w:w="1314"/>
        <w:gridCol w:w="1888"/>
        <w:gridCol w:w="1352"/>
        <w:gridCol w:w="1488"/>
        <w:gridCol w:w="1392"/>
        <w:gridCol w:w="1926"/>
      </w:tblGrid>
      <w:tr w:rsidR="00631DFD" w:rsidRPr="00F4129E" w14:paraId="1A7A7603" w14:textId="77777777" w:rsidTr="00D03502">
        <w:trPr>
          <w:trHeight w:val="864"/>
          <w:jc w:val="right"/>
        </w:trPr>
        <w:tc>
          <w:tcPr>
            <w:tcW w:w="9360" w:type="dxa"/>
            <w:gridSpan w:val="6"/>
            <w:tcBorders>
              <w:top w:val="single" w:sz="4" w:space="0" w:color="auto"/>
              <w:bottom w:val="single" w:sz="4" w:space="0" w:color="auto"/>
            </w:tcBorders>
            <w:vAlign w:val="center"/>
          </w:tcPr>
          <w:p w14:paraId="0143A0BF" w14:textId="77777777" w:rsidR="00631DFD" w:rsidRPr="00F4129E" w:rsidRDefault="00631DFD" w:rsidP="00D03502">
            <w:pPr>
              <w:pStyle w:val="wiUndefined"/>
              <w:jc w:val="center"/>
            </w:pPr>
            <w:r w:rsidRPr="00F4129E">
              <w:rPr>
                <w:noProof/>
              </w:rPr>
              <w:drawing>
                <wp:inline distT="0" distB="0" distL="0" distR="0" wp14:anchorId="4132857C" wp14:editId="4A37B086">
                  <wp:extent cx="2349445" cy="47927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360368" cy="481499"/>
                          </a:xfrm>
                          <a:prstGeom prst="rect">
                            <a:avLst/>
                          </a:prstGeom>
                        </pic:spPr>
                      </pic:pic>
                    </a:graphicData>
                  </a:graphic>
                </wp:inline>
              </w:drawing>
            </w:r>
          </w:p>
        </w:tc>
      </w:tr>
      <w:tr w:rsidR="00631DFD" w:rsidRPr="00F4129E" w14:paraId="3A4043C6" w14:textId="77777777" w:rsidTr="00D03502">
        <w:trPr>
          <w:trHeight w:val="288"/>
          <w:jc w:val="right"/>
        </w:trPr>
        <w:tc>
          <w:tcPr>
            <w:tcW w:w="3202" w:type="dxa"/>
            <w:gridSpan w:val="2"/>
            <w:tcBorders>
              <w:top w:val="single" w:sz="4" w:space="0" w:color="auto"/>
              <w:bottom w:val="nil"/>
              <w:right w:val="single" w:sz="4" w:space="0" w:color="auto"/>
            </w:tcBorders>
            <w:shd w:val="clear" w:color="auto" w:fill="D9D9D9" w:themeFill="background1" w:themeFillShade="D9"/>
            <w:vAlign w:val="center"/>
          </w:tcPr>
          <w:p w14:paraId="670E1486" w14:textId="77777777" w:rsidR="00631DFD" w:rsidRPr="00F4129E" w:rsidRDefault="00631DFD" w:rsidP="00D03502">
            <w:pPr>
              <w:pStyle w:val="wiTableUndefined"/>
              <w:keepNext w:val="0"/>
              <w:spacing w:before="60" w:after="60"/>
              <w:rPr>
                <w:rFonts w:cs="Arial"/>
              </w:rPr>
            </w:pPr>
            <w:r w:rsidRPr="00F4129E">
              <w:rPr>
                <w:rFonts w:cs="Arial"/>
              </w:rPr>
              <w:t>GRADATIONS (NMAS)</w:t>
            </w:r>
          </w:p>
        </w:tc>
        <w:tc>
          <w:tcPr>
            <w:tcW w:w="2840" w:type="dxa"/>
            <w:gridSpan w:val="2"/>
            <w:tcBorders>
              <w:top w:val="single" w:sz="4" w:space="0" w:color="auto"/>
              <w:left w:val="single" w:sz="4" w:space="0" w:color="auto"/>
              <w:bottom w:val="nil"/>
              <w:right w:val="single" w:sz="4" w:space="0" w:color="auto"/>
            </w:tcBorders>
            <w:shd w:val="clear" w:color="auto" w:fill="D9D9D9" w:themeFill="background1" w:themeFillShade="D9"/>
            <w:vAlign w:val="center"/>
          </w:tcPr>
          <w:p w14:paraId="2236504E" w14:textId="77777777" w:rsidR="00631DFD" w:rsidRPr="00F4129E" w:rsidRDefault="00631DFD" w:rsidP="00D03502">
            <w:pPr>
              <w:pStyle w:val="wiTableUndefined"/>
              <w:keepNext w:val="0"/>
              <w:spacing w:before="60" w:after="60"/>
              <w:rPr>
                <w:rFonts w:cs="Arial"/>
              </w:rPr>
            </w:pPr>
            <w:r w:rsidRPr="00F4129E">
              <w:rPr>
                <w:rFonts w:cs="Arial"/>
              </w:rPr>
              <w:t>TRAFFIC VOLUME</w:t>
            </w:r>
          </w:p>
        </w:tc>
        <w:tc>
          <w:tcPr>
            <w:tcW w:w="3318" w:type="dxa"/>
            <w:gridSpan w:val="2"/>
            <w:tcBorders>
              <w:top w:val="single" w:sz="4" w:space="0" w:color="auto"/>
              <w:left w:val="single" w:sz="4" w:space="0" w:color="auto"/>
              <w:bottom w:val="nil"/>
            </w:tcBorders>
            <w:shd w:val="clear" w:color="auto" w:fill="D9D9D9" w:themeFill="background1" w:themeFillShade="D9"/>
            <w:vAlign w:val="center"/>
          </w:tcPr>
          <w:p w14:paraId="18B3869F" w14:textId="77777777" w:rsidR="00631DFD" w:rsidRPr="00F4129E" w:rsidRDefault="00631DFD" w:rsidP="00D03502">
            <w:pPr>
              <w:pStyle w:val="wiTableUndefined"/>
              <w:keepNext w:val="0"/>
              <w:spacing w:before="60" w:after="60"/>
              <w:rPr>
                <w:rFonts w:cs="Arial"/>
              </w:rPr>
            </w:pPr>
            <w:r w:rsidRPr="00F4129E">
              <w:rPr>
                <w:rFonts w:cs="Arial"/>
              </w:rPr>
              <w:t>BINDER DESIGNATION LEVEL</w:t>
            </w:r>
          </w:p>
        </w:tc>
      </w:tr>
      <w:tr w:rsidR="00631DFD" w:rsidRPr="00F4129E" w14:paraId="3D9C09F9" w14:textId="77777777" w:rsidTr="00D03502">
        <w:trPr>
          <w:trHeight w:val="288"/>
          <w:jc w:val="right"/>
        </w:trPr>
        <w:tc>
          <w:tcPr>
            <w:tcW w:w="1314" w:type="dxa"/>
            <w:tcBorders>
              <w:top w:val="nil"/>
              <w:bottom w:val="nil"/>
            </w:tcBorders>
            <w:vAlign w:val="center"/>
          </w:tcPr>
          <w:p w14:paraId="4E74DDBE" w14:textId="77777777" w:rsidR="00631DFD" w:rsidRPr="00F4129E" w:rsidRDefault="00631DFD" w:rsidP="00D03502">
            <w:pPr>
              <w:pStyle w:val="wiTableUndefined"/>
              <w:keepNext w:val="0"/>
              <w:spacing w:before="60" w:after="60"/>
              <w:rPr>
                <w:rFonts w:cs="Arial"/>
              </w:rPr>
            </w:pPr>
            <w:r w:rsidRPr="00F4129E">
              <w:rPr>
                <w:rFonts w:cs="Arial"/>
              </w:rPr>
              <w:t>1</w:t>
            </w:r>
          </w:p>
        </w:tc>
        <w:tc>
          <w:tcPr>
            <w:tcW w:w="1888" w:type="dxa"/>
            <w:tcBorders>
              <w:top w:val="nil"/>
              <w:bottom w:val="nil"/>
              <w:right w:val="single" w:sz="4" w:space="0" w:color="auto"/>
            </w:tcBorders>
            <w:vAlign w:val="center"/>
          </w:tcPr>
          <w:p w14:paraId="746BA18E" w14:textId="77777777" w:rsidR="00631DFD" w:rsidRPr="00F4129E" w:rsidRDefault="00631DFD" w:rsidP="00D03502">
            <w:pPr>
              <w:pStyle w:val="wiTableUndefined"/>
              <w:keepNext w:val="0"/>
              <w:spacing w:before="60" w:after="60"/>
              <w:rPr>
                <w:rFonts w:cs="Arial"/>
              </w:rPr>
            </w:pPr>
            <w:r w:rsidRPr="00F4129E">
              <w:rPr>
                <w:rFonts w:cs="Arial"/>
              </w:rPr>
              <w:t>37.5 mm</w:t>
            </w:r>
          </w:p>
        </w:tc>
        <w:tc>
          <w:tcPr>
            <w:tcW w:w="1352" w:type="dxa"/>
            <w:tcBorders>
              <w:top w:val="nil"/>
              <w:left w:val="single" w:sz="4" w:space="0" w:color="auto"/>
              <w:bottom w:val="nil"/>
            </w:tcBorders>
            <w:vAlign w:val="center"/>
          </w:tcPr>
          <w:p w14:paraId="6021B520" w14:textId="77777777" w:rsidR="00631DFD" w:rsidRPr="00F4129E" w:rsidRDefault="00631DFD" w:rsidP="00D03502">
            <w:pPr>
              <w:pStyle w:val="wiTableUndefined"/>
              <w:keepNext w:val="0"/>
              <w:spacing w:before="60" w:after="60"/>
              <w:rPr>
                <w:rFonts w:cs="Arial"/>
              </w:rPr>
            </w:pPr>
            <w:r w:rsidRPr="00F4129E">
              <w:rPr>
                <w:rFonts w:cs="Arial"/>
              </w:rPr>
              <w:t>LT</w:t>
            </w:r>
          </w:p>
        </w:tc>
        <w:tc>
          <w:tcPr>
            <w:tcW w:w="1488" w:type="dxa"/>
            <w:tcBorders>
              <w:top w:val="nil"/>
              <w:bottom w:val="nil"/>
              <w:right w:val="single" w:sz="4" w:space="0" w:color="auto"/>
            </w:tcBorders>
            <w:vAlign w:val="center"/>
          </w:tcPr>
          <w:p w14:paraId="082E863D" w14:textId="77777777" w:rsidR="00631DFD" w:rsidRPr="00F4129E" w:rsidRDefault="00631DFD" w:rsidP="00D03502">
            <w:pPr>
              <w:pStyle w:val="wiTableUndefined"/>
              <w:keepNext w:val="0"/>
              <w:spacing w:before="60" w:after="60"/>
              <w:rPr>
                <w:rFonts w:cs="Arial"/>
              </w:rPr>
            </w:pPr>
            <w:r w:rsidRPr="00F4129E">
              <w:rPr>
                <w:rFonts w:cs="Arial"/>
              </w:rPr>
              <w:t>Low</w:t>
            </w:r>
          </w:p>
        </w:tc>
        <w:tc>
          <w:tcPr>
            <w:tcW w:w="1392" w:type="dxa"/>
            <w:tcBorders>
              <w:top w:val="nil"/>
              <w:left w:val="single" w:sz="4" w:space="0" w:color="auto"/>
              <w:bottom w:val="nil"/>
            </w:tcBorders>
            <w:vAlign w:val="center"/>
          </w:tcPr>
          <w:p w14:paraId="7BE07E11" w14:textId="77777777" w:rsidR="00631DFD" w:rsidRPr="00F4129E" w:rsidRDefault="00631DFD" w:rsidP="00D03502">
            <w:pPr>
              <w:pStyle w:val="wiTableUndefined"/>
              <w:keepNext w:val="0"/>
              <w:spacing w:before="60" w:after="60"/>
              <w:rPr>
                <w:rFonts w:cs="Arial"/>
              </w:rPr>
            </w:pPr>
            <w:r w:rsidRPr="00F4129E">
              <w:rPr>
                <w:rFonts w:cs="Arial"/>
              </w:rPr>
              <w:t>S</w:t>
            </w:r>
          </w:p>
        </w:tc>
        <w:tc>
          <w:tcPr>
            <w:tcW w:w="1926" w:type="dxa"/>
            <w:tcBorders>
              <w:top w:val="nil"/>
              <w:bottom w:val="nil"/>
            </w:tcBorders>
            <w:vAlign w:val="center"/>
          </w:tcPr>
          <w:p w14:paraId="6E513CF2" w14:textId="77777777" w:rsidR="00631DFD" w:rsidRPr="00F4129E" w:rsidRDefault="00631DFD" w:rsidP="00D03502">
            <w:pPr>
              <w:pStyle w:val="wiTableUndefined"/>
              <w:keepNext w:val="0"/>
              <w:spacing w:before="60" w:after="60"/>
              <w:rPr>
                <w:rFonts w:cs="Arial"/>
              </w:rPr>
            </w:pPr>
            <w:r w:rsidRPr="00F4129E">
              <w:rPr>
                <w:rFonts w:cs="Arial"/>
              </w:rPr>
              <w:t>Standard</w:t>
            </w:r>
          </w:p>
        </w:tc>
      </w:tr>
      <w:tr w:rsidR="00631DFD" w:rsidRPr="00F4129E" w14:paraId="5DC8FE45" w14:textId="77777777" w:rsidTr="00D03502">
        <w:trPr>
          <w:trHeight w:val="288"/>
          <w:jc w:val="right"/>
        </w:trPr>
        <w:tc>
          <w:tcPr>
            <w:tcW w:w="1314" w:type="dxa"/>
            <w:tcBorders>
              <w:top w:val="nil"/>
              <w:bottom w:val="nil"/>
            </w:tcBorders>
            <w:vAlign w:val="center"/>
          </w:tcPr>
          <w:p w14:paraId="26376B40" w14:textId="77777777" w:rsidR="00631DFD" w:rsidRPr="00F4129E" w:rsidRDefault="00631DFD" w:rsidP="00D03502">
            <w:pPr>
              <w:pStyle w:val="wiTableUndefined"/>
              <w:keepNext w:val="0"/>
              <w:spacing w:before="60" w:after="60"/>
              <w:rPr>
                <w:rFonts w:cs="Arial"/>
              </w:rPr>
            </w:pPr>
            <w:r w:rsidRPr="00F4129E">
              <w:rPr>
                <w:rFonts w:cs="Arial"/>
              </w:rPr>
              <w:t>2</w:t>
            </w:r>
          </w:p>
        </w:tc>
        <w:tc>
          <w:tcPr>
            <w:tcW w:w="1888" w:type="dxa"/>
            <w:tcBorders>
              <w:top w:val="nil"/>
              <w:bottom w:val="nil"/>
              <w:right w:val="single" w:sz="4" w:space="0" w:color="auto"/>
            </w:tcBorders>
            <w:vAlign w:val="center"/>
          </w:tcPr>
          <w:p w14:paraId="371A4F44" w14:textId="77777777" w:rsidR="00631DFD" w:rsidRPr="00F4129E" w:rsidRDefault="00631DFD" w:rsidP="00D03502">
            <w:pPr>
              <w:pStyle w:val="wiTableUndefined"/>
              <w:keepNext w:val="0"/>
              <w:spacing w:before="60" w:after="60"/>
              <w:rPr>
                <w:rFonts w:cs="Arial"/>
              </w:rPr>
            </w:pPr>
            <w:r w:rsidRPr="00F4129E">
              <w:rPr>
                <w:rFonts w:cs="Arial"/>
              </w:rPr>
              <w:t>25.0 mm</w:t>
            </w:r>
          </w:p>
        </w:tc>
        <w:tc>
          <w:tcPr>
            <w:tcW w:w="1352" w:type="dxa"/>
            <w:tcBorders>
              <w:top w:val="nil"/>
              <w:left w:val="single" w:sz="4" w:space="0" w:color="auto"/>
              <w:bottom w:val="nil"/>
            </w:tcBorders>
            <w:vAlign w:val="center"/>
          </w:tcPr>
          <w:p w14:paraId="075FB574" w14:textId="77777777" w:rsidR="00631DFD" w:rsidRPr="00F4129E" w:rsidRDefault="00631DFD" w:rsidP="00D03502">
            <w:pPr>
              <w:pStyle w:val="wiTableUndefined"/>
              <w:keepNext w:val="0"/>
              <w:spacing w:before="60" w:after="60"/>
              <w:rPr>
                <w:rFonts w:cs="Arial"/>
              </w:rPr>
            </w:pPr>
            <w:r w:rsidRPr="00F4129E">
              <w:rPr>
                <w:rFonts w:cs="Arial"/>
              </w:rPr>
              <w:t>MT</w:t>
            </w:r>
          </w:p>
        </w:tc>
        <w:tc>
          <w:tcPr>
            <w:tcW w:w="1488" w:type="dxa"/>
            <w:tcBorders>
              <w:top w:val="nil"/>
              <w:bottom w:val="nil"/>
              <w:right w:val="single" w:sz="4" w:space="0" w:color="auto"/>
            </w:tcBorders>
            <w:vAlign w:val="center"/>
          </w:tcPr>
          <w:p w14:paraId="7DC0DD22" w14:textId="77777777" w:rsidR="00631DFD" w:rsidRPr="00F4129E" w:rsidRDefault="00631DFD" w:rsidP="00D03502">
            <w:pPr>
              <w:pStyle w:val="wiTableUndefined"/>
              <w:keepNext w:val="0"/>
              <w:spacing w:before="60" w:after="60"/>
              <w:rPr>
                <w:rFonts w:cs="Arial"/>
              </w:rPr>
            </w:pPr>
            <w:r w:rsidRPr="00F4129E">
              <w:rPr>
                <w:rFonts w:cs="Arial"/>
              </w:rPr>
              <w:t>Medium</w:t>
            </w:r>
          </w:p>
        </w:tc>
        <w:tc>
          <w:tcPr>
            <w:tcW w:w="1392" w:type="dxa"/>
            <w:tcBorders>
              <w:top w:val="nil"/>
              <w:left w:val="single" w:sz="4" w:space="0" w:color="auto"/>
              <w:bottom w:val="nil"/>
            </w:tcBorders>
            <w:vAlign w:val="center"/>
          </w:tcPr>
          <w:p w14:paraId="6AF051D1" w14:textId="77777777" w:rsidR="00631DFD" w:rsidRPr="00F4129E" w:rsidRDefault="00631DFD" w:rsidP="00D03502">
            <w:pPr>
              <w:pStyle w:val="wiTableUndefined"/>
              <w:keepNext w:val="0"/>
              <w:spacing w:before="60" w:after="60"/>
              <w:rPr>
                <w:rFonts w:cs="Arial"/>
              </w:rPr>
            </w:pPr>
            <w:r w:rsidRPr="00F4129E">
              <w:rPr>
                <w:rFonts w:cs="Arial"/>
              </w:rPr>
              <w:t>H</w:t>
            </w:r>
          </w:p>
        </w:tc>
        <w:tc>
          <w:tcPr>
            <w:tcW w:w="1926" w:type="dxa"/>
            <w:tcBorders>
              <w:top w:val="nil"/>
              <w:bottom w:val="nil"/>
            </w:tcBorders>
            <w:vAlign w:val="center"/>
          </w:tcPr>
          <w:p w14:paraId="207FB17E" w14:textId="77777777" w:rsidR="00631DFD" w:rsidRPr="00F4129E" w:rsidRDefault="00631DFD" w:rsidP="00D03502">
            <w:pPr>
              <w:pStyle w:val="wiTableUndefined"/>
              <w:keepNext w:val="0"/>
              <w:spacing w:before="60" w:after="60"/>
              <w:rPr>
                <w:rFonts w:cs="Arial"/>
              </w:rPr>
            </w:pPr>
            <w:r w:rsidRPr="00F4129E">
              <w:rPr>
                <w:rFonts w:cs="Arial"/>
              </w:rPr>
              <w:t>Heavy</w:t>
            </w:r>
          </w:p>
        </w:tc>
      </w:tr>
      <w:tr w:rsidR="00631DFD" w:rsidRPr="00F4129E" w14:paraId="09F39C5A" w14:textId="77777777" w:rsidTr="00D03502">
        <w:trPr>
          <w:trHeight w:val="288"/>
          <w:jc w:val="right"/>
        </w:trPr>
        <w:tc>
          <w:tcPr>
            <w:tcW w:w="1314" w:type="dxa"/>
            <w:tcBorders>
              <w:top w:val="nil"/>
              <w:bottom w:val="nil"/>
            </w:tcBorders>
            <w:vAlign w:val="center"/>
          </w:tcPr>
          <w:p w14:paraId="02CF928F" w14:textId="77777777" w:rsidR="00631DFD" w:rsidRPr="00F4129E" w:rsidRDefault="00631DFD" w:rsidP="00D03502">
            <w:pPr>
              <w:pStyle w:val="wiTableUndefined"/>
              <w:keepNext w:val="0"/>
              <w:spacing w:before="60" w:after="60"/>
              <w:rPr>
                <w:rFonts w:cs="Arial"/>
              </w:rPr>
            </w:pPr>
            <w:r w:rsidRPr="00F4129E">
              <w:rPr>
                <w:rFonts w:cs="Arial"/>
              </w:rPr>
              <w:t>3</w:t>
            </w:r>
          </w:p>
        </w:tc>
        <w:tc>
          <w:tcPr>
            <w:tcW w:w="1888" w:type="dxa"/>
            <w:tcBorders>
              <w:top w:val="nil"/>
              <w:bottom w:val="nil"/>
              <w:right w:val="single" w:sz="4" w:space="0" w:color="auto"/>
            </w:tcBorders>
            <w:vAlign w:val="center"/>
          </w:tcPr>
          <w:p w14:paraId="7036243B" w14:textId="77777777" w:rsidR="00631DFD" w:rsidRPr="00F4129E" w:rsidRDefault="00631DFD" w:rsidP="00D03502">
            <w:pPr>
              <w:pStyle w:val="wiTableUndefined"/>
              <w:keepNext w:val="0"/>
              <w:spacing w:before="60" w:after="60"/>
              <w:rPr>
                <w:rFonts w:cs="Arial"/>
              </w:rPr>
            </w:pPr>
            <w:r w:rsidRPr="00F4129E">
              <w:rPr>
                <w:rFonts w:cs="Arial"/>
              </w:rPr>
              <w:t>19.0 mm</w:t>
            </w:r>
          </w:p>
        </w:tc>
        <w:tc>
          <w:tcPr>
            <w:tcW w:w="1352" w:type="dxa"/>
            <w:tcBorders>
              <w:top w:val="nil"/>
              <w:left w:val="single" w:sz="4" w:space="0" w:color="auto"/>
              <w:bottom w:val="nil"/>
            </w:tcBorders>
            <w:vAlign w:val="center"/>
          </w:tcPr>
          <w:p w14:paraId="6818D2AF" w14:textId="77777777" w:rsidR="00631DFD" w:rsidRPr="00F4129E" w:rsidRDefault="00631DFD" w:rsidP="00D03502">
            <w:pPr>
              <w:pStyle w:val="wiTableUndefined"/>
              <w:keepNext w:val="0"/>
              <w:spacing w:before="60" w:after="60"/>
              <w:rPr>
                <w:rFonts w:cs="Arial"/>
              </w:rPr>
            </w:pPr>
            <w:r w:rsidRPr="00F4129E">
              <w:rPr>
                <w:rFonts w:cs="Arial"/>
              </w:rPr>
              <w:t>HT</w:t>
            </w:r>
          </w:p>
        </w:tc>
        <w:tc>
          <w:tcPr>
            <w:tcW w:w="1488" w:type="dxa"/>
            <w:tcBorders>
              <w:top w:val="nil"/>
              <w:bottom w:val="nil"/>
              <w:right w:val="single" w:sz="4" w:space="0" w:color="auto"/>
            </w:tcBorders>
            <w:vAlign w:val="center"/>
          </w:tcPr>
          <w:p w14:paraId="1B578008" w14:textId="77777777" w:rsidR="00631DFD" w:rsidRPr="00F4129E" w:rsidRDefault="00631DFD" w:rsidP="00D03502">
            <w:pPr>
              <w:pStyle w:val="wiTableUndefined"/>
              <w:keepNext w:val="0"/>
              <w:spacing w:before="60" w:after="60"/>
              <w:rPr>
                <w:rFonts w:cs="Arial"/>
              </w:rPr>
            </w:pPr>
            <w:r w:rsidRPr="00F4129E">
              <w:rPr>
                <w:rFonts w:cs="Arial"/>
              </w:rPr>
              <w:t>High</w:t>
            </w:r>
          </w:p>
        </w:tc>
        <w:tc>
          <w:tcPr>
            <w:tcW w:w="1392" w:type="dxa"/>
            <w:tcBorders>
              <w:top w:val="nil"/>
              <w:left w:val="single" w:sz="4" w:space="0" w:color="auto"/>
              <w:bottom w:val="nil"/>
            </w:tcBorders>
            <w:vAlign w:val="center"/>
          </w:tcPr>
          <w:p w14:paraId="06D7816F" w14:textId="77777777" w:rsidR="00631DFD" w:rsidRPr="00F4129E" w:rsidRDefault="00631DFD" w:rsidP="00D03502">
            <w:pPr>
              <w:pStyle w:val="wiTableUndefined"/>
              <w:keepNext w:val="0"/>
              <w:spacing w:before="60" w:after="60"/>
              <w:rPr>
                <w:rFonts w:cs="Arial"/>
              </w:rPr>
            </w:pPr>
            <w:r w:rsidRPr="00F4129E">
              <w:rPr>
                <w:rFonts w:cs="Arial"/>
              </w:rPr>
              <w:t>V</w:t>
            </w:r>
          </w:p>
        </w:tc>
        <w:tc>
          <w:tcPr>
            <w:tcW w:w="1926" w:type="dxa"/>
            <w:tcBorders>
              <w:top w:val="nil"/>
              <w:bottom w:val="nil"/>
            </w:tcBorders>
            <w:vAlign w:val="center"/>
          </w:tcPr>
          <w:p w14:paraId="148D4097" w14:textId="77777777" w:rsidR="00631DFD" w:rsidRPr="00F4129E" w:rsidRDefault="00631DFD" w:rsidP="00D03502">
            <w:pPr>
              <w:pStyle w:val="wiTableUndefined"/>
              <w:keepNext w:val="0"/>
              <w:spacing w:before="60" w:after="60"/>
              <w:rPr>
                <w:rFonts w:cs="Arial"/>
              </w:rPr>
            </w:pPr>
            <w:r w:rsidRPr="00F4129E">
              <w:rPr>
                <w:rFonts w:cs="Arial"/>
              </w:rPr>
              <w:t>Very Heavy</w:t>
            </w:r>
          </w:p>
        </w:tc>
      </w:tr>
      <w:tr w:rsidR="00631DFD" w:rsidRPr="00F4129E" w14:paraId="594BADEE" w14:textId="77777777" w:rsidTr="00D03502">
        <w:trPr>
          <w:trHeight w:val="288"/>
          <w:jc w:val="right"/>
        </w:trPr>
        <w:tc>
          <w:tcPr>
            <w:tcW w:w="1314" w:type="dxa"/>
            <w:tcBorders>
              <w:top w:val="nil"/>
              <w:bottom w:val="nil"/>
            </w:tcBorders>
            <w:vAlign w:val="center"/>
          </w:tcPr>
          <w:p w14:paraId="61C1E4B6" w14:textId="77777777" w:rsidR="00631DFD" w:rsidRPr="00F4129E" w:rsidRDefault="00631DFD" w:rsidP="00D03502">
            <w:pPr>
              <w:pStyle w:val="wiTableUndefined"/>
              <w:keepNext w:val="0"/>
              <w:spacing w:before="60" w:after="60"/>
              <w:rPr>
                <w:rFonts w:cs="Arial"/>
              </w:rPr>
            </w:pPr>
            <w:r w:rsidRPr="00F4129E">
              <w:rPr>
                <w:rFonts w:cs="Arial"/>
              </w:rPr>
              <w:t>4</w:t>
            </w:r>
          </w:p>
        </w:tc>
        <w:tc>
          <w:tcPr>
            <w:tcW w:w="1888" w:type="dxa"/>
            <w:tcBorders>
              <w:top w:val="nil"/>
              <w:bottom w:val="nil"/>
              <w:right w:val="single" w:sz="4" w:space="0" w:color="auto"/>
            </w:tcBorders>
            <w:vAlign w:val="center"/>
          </w:tcPr>
          <w:p w14:paraId="667006E9" w14:textId="77777777" w:rsidR="00631DFD" w:rsidRPr="00F4129E" w:rsidRDefault="00631DFD" w:rsidP="00D03502">
            <w:pPr>
              <w:pStyle w:val="wiTableUndefined"/>
              <w:keepNext w:val="0"/>
              <w:spacing w:before="60" w:after="60"/>
              <w:rPr>
                <w:rFonts w:cs="Arial"/>
              </w:rPr>
            </w:pPr>
            <w:r w:rsidRPr="00F4129E">
              <w:rPr>
                <w:rFonts w:cs="Arial"/>
              </w:rPr>
              <w:t>12.5 mm</w:t>
            </w:r>
          </w:p>
        </w:tc>
        <w:tc>
          <w:tcPr>
            <w:tcW w:w="1352" w:type="dxa"/>
            <w:tcBorders>
              <w:top w:val="nil"/>
              <w:left w:val="single" w:sz="4" w:space="0" w:color="auto"/>
              <w:bottom w:val="nil"/>
            </w:tcBorders>
            <w:vAlign w:val="center"/>
          </w:tcPr>
          <w:p w14:paraId="72C60EF4" w14:textId="77777777" w:rsidR="00631DFD" w:rsidRPr="00F4129E" w:rsidRDefault="00631DFD" w:rsidP="00E02ECB">
            <w:pPr>
              <w:pStyle w:val="wiTableUndefined"/>
              <w:keepNext w:val="0"/>
              <w:spacing w:before="60" w:after="60"/>
              <w:rPr>
                <w:rFonts w:cs="Arial"/>
              </w:rPr>
            </w:pPr>
            <w:proofErr w:type="spellStart"/>
            <w:proofErr w:type="gramStart"/>
            <w:r w:rsidRPr="00F4129E">
              <w:rPr>
                <w:rFonts w:cs="Arial"/>
              </w:rPr>
              <w:t>SMA</w:t>
            </w:r>
            <w:proofErr w:type="spellEnd"/>
            <w:r w:rsidRPr="00F4129E">
              <w:rPr>
                <w:rFonts w:cs="Arial"/>
                <w:i/>
                <w:vertAlign w:val="superscript"/>
              </w:rPr>
              <w:t>[</w:t>
            </w:r>
            <w:proofErr w:type="gramEnd"/>
            <w:r w:rsidRPr="00F4129E">
              <w:rPr>
                <w:rFonts w:cs="Arial"/>
                <w:i/>
                <w:vertAlign w:val="superscript"/>
              </w:rPr>
              <w:t>1]</w:t>
            </w:r>
          </w:p>
        </w:tc>
        <w:tc>
          <w:tcPr>
            <w:tcW w:w="1488" w:type="dxa"/>
            <w:tcBorders>
              <w:top w:val="nil"/>
              <w:bottom w:val="nil"/>
              <w:right w:val="single" w:sz="4" w:space="0" w:color="auto"/>
            </w:tcBorders>
            <w:vAlign w:val="center"/>
          </w:tcPr>
          <w:p w14:paraId="33389F93" w14:textId="77777777" w:rsidR="00631DFD" w:rsidRPr="00F4129E" w:rsidRDefault="00631DFD" w:rsidP="00D03502">
            <w:pPr>
              <w:pStyle w:val="wiTableUndefined"/>
              <w:keepNext w:val="0"/>
              <w:spacing w:before="60" w:after="60"/>
              <w:rPr>
                <w:rFonts w:cs="Arial"/>
              </w:rPr>
            </w:pPr>
          </w:p>
        </w:tc>
        <w:tc>
          <w:tcPr>
            <w:tcW w:w="1392" w:type="dxa"/>
            <w:tcBorders>
              <w:top w:val="nil"/>
              <w:left w:val="single" w:sz="4" w:space="0" w:color="auto"/>
              <w:bottom w:val="nil"/>
            </w:tcBorders>
            <w:vAlign w:val="center"/>
          </w:tcPr>
          <w:p w14:paraId="1E4EAAD6" w14:textId="77777777" w:rsidR="00631DFD" w:rsidRPr="00F4129E" w:rsidRDefault="00631DFD" w:rsidP="00D03502">
            <w:pPr>
              <w:pStyle w:val="wiTableUndefined"/>
              <w:keepNext w:val="0"/>
              <w:spacing w:before="60" w:after="60"/>
              <w:rPr>
                <w:rFonts w:cs="Arial"/>
              </w:rPr>
            </w:pPr>
            <w:r w:rsidRPr="00F4129E">
              <w:rPr>
                <w:rFonts w:cs="Arial"/>
              </w:rPr>
              <w:t>E</w:t>
            </w:r>
          </w:p>
        </w:tc>
        <w:tc>
          <w:tcPr>
            <w:tcW w:w="1926" w:type="dxa"/>
            <w:tcBorders>
              <w:top w:val="nil"/>
              <w:bottom w:val="nil"/>
            </w:tcBorders>
            <w:vAlign w:val="center"/>
          </w:tcPr>
          <w:p w14:paraId="4AFCA4D0" w14:textId="77777777" w:rsidR="00631DFD" w:rsidRPr="00F4129E" w:rsidRDefault="00631DFD" w:rsidP="00D03502">
            <w:pPr>
              <w:pStyle w:val="wiTableUndefined"/>
              <w:keepNext w:val="0"/>
              <w:spacing w:before="60" w:after="60"/>
              <w:rPr>
                <w:rFonts w:cs="Arial"/>
              </w:rPr>
            </w:pPr>
            <w:r w:rsidRPr="00F4129E">
              <w:rPr>
                <w:rFonts w:cs="Arial"/>
              </w:rPr>
              <w:t>Extremely Heavy</w:t>
            </w:r>
          </w:p>
        </w:tc>
      </w:tr>
      <w:tr w:rsidR="00631DFD" w:rsidRPr="00F4129E" w14:paraId="79080AAC" w14:textId="77777777" w:rsidTr="00D03502">
        <w:trPr>
          <w:trHeight w:val="288"/>
          <w:jc w:val="right"/>
        </w:trPr>
        <w:tc>
          <w:tcPr>
            <w:tcW w:w="1314" w:type="dxa"/>
            <w:tcBorders>
              <w:top w:val="nil"/>
              <w:bottom w:val="nil"/>
            </w:tcBorders>
            <w:vAlign w:val="center"/>
          </w:tcPr>
          <w:p w14:paraId="475C72A8" w14:textId="77777777" w:rsidR="00631DFD" w:rsidRPr="00F4129E" w:rsidRDefault="00631DFD" w:rsidP="00D03502">
            <w:pPr>
              <w:pStyle w:val="wiTableUndefined"/>
              <w:keepNext w:val="0"/>
              <w:spacing w:before="60" w:after="60"/>
              <w:rPr>
                <w:rFonts w:cs="Arial"/>
              </w:rPr>
            </w:pPr>
            <w:r w:rsidRPr="00F4129E">
              <w:rPr>
                <w:rFonts w:cs="Arial"/>
              </w:rPr>
              <w:t>5</w:t>
            </w:r>
          </w:p>
        </w:tc>
        <w:tc>
          <w:tcPr>
            <w:tcW w:w="1888" w:type="dxa"/>
            <w:tcBorders>
              <w:top w:val="nil"/>
              <w:bottom w:val="nil"/>
              <w:right w:val="single" w:sz="4" w:space="0" w:color="auto"/>
            </w:tcBorders>
            <w:vAlign w:val="center"/>
          </w:tcPr>
          <w:p w14:paraId="40A75FC9" w14:textId="77777777" w:rsidR="00631DFD" w:rsidRPr="00F4129E" w:rsidRDefault="00631DFD" w:rsidP="00D03502">
            <w:pPr>
              <w:pStyle w:val="wiTableUndefined"/>
              <w:keepNext w:val="0"/>
              <w:spacing w:before="60" w:after="60"/>
              <w:rPr>
                <w:rFonts w:cs="Arial"/>
              </w:rPr>
            </w:pPr>
            <w:r w:rsidRPr="00F4129E">
              <w:rPr>
                <w:rFonts w:cs="Arial"/>
              </w:rPr>
              <w:t>9.5 mm</w:t>
            </w:r>
          </w:p>
        </w:tc>
        <w:tc>
          <w:tcPr>
            <w:tcW w:w="1352" w:type="dxa"/>
            <w:tcBorders>
              <w:top w:val="nil"/>
              <w:left w:val="single" w:sz="4" w:space="0" w:color="auto"/>
              <w:bottom w:val="nil"/>
            </w:tcBorders>
            <w:vAlign w:val="center"/>
          </w:tcPr>
          <w:p w14:paraId="70128A2B" w14:textId="77777777" w:rsidR="00631DFD" w:rsidRPr="00F4129E" w:rsidRDefault="00631DFD" w:rsidP="00D03502">
            <w:pPr>
              <w:pStyle w:val="wiTableUndefined"/>
              <w:keepNext w:val="0"/>
              <w:spacing w:before="60" w:after="60"/>
              <w:rPr>
                <w:rFonts w:cs="Arial"/>
              </w:rPr>
            </w:pPr>
          </w:p>
        </w:tc>
        <w:tc>
          <w:tcPr>
            <w:tcW w:w="1488" w:type="dxa"/>
            <w:tcBorders>
              <w:top w:val="nil"/>
              <w:bottom w:val="nil"/>
              <w:right w:val="single" w:sz="4" w:space="0" w:color="auto"/>
            </w:tcBorders>
            <w:vAlign w:val="center"/>
          </w:tcPr>
          <w:p w14:paraId="124B7FE5" w14:textId="77777777" w:rsidR="00631DFD" w:rsidRPr="00F4129E" w:rsidRDefault="00631DFD" w:rsidP="00D03502">
            <w:pPr>
              <w:pStyle w:val="wiTableUndefined"/>
              <w:keepNext w:val="0"/>
              <w:spacing w:before="60" w:after="60"/>
              <w:rPr>
                <w:rFonts w:cs="Arial"/>
              </w:rPr>
            </w:pPr>
          </w:p>
        </w:tc>
        <w:tc>
          <w:tcPr>
            <w:tcW w:w="1392" w:type="dxa"/>
            <w:tcBorders>
              <w:top w:val="nil"/>
              <w:left w:val="single" w:sz="4" w:space="0" w:color="auto"/>
              <w:bottom w:val="nil"/>
            </w:tcBorders>
            <w:vAlign w:val="center"/>
          </w:tcPr>
          <w:p w14:paraId="757639CC" w14:textId="77777777" w:rsidR="00631DFD" w:rsidRPr="00F4129E" w:rsidRDefault="00631DFD" w:rsidP="00D03502">
            <w:pPr>
              <w:pStyle w:val="wiTableUndefined"/>
              <w:keepNext w:val="0"/>
              <w:spacing w:before="60" w:after="60"/>
              <w:rPr>
                <w:rFonts w:cs="Arial"/>
              </w:rPr>
            </w:pPr>
          </w:p>
        </w:tc>
        <w:tc>
          <w:tcPr>
            <w:tcW w:w="1926" w:type="dxa"/>
            <w:tcBorders>
              <w:top w:val="nil"/>
              <w:bottom w:val="nil"/>
            </w:tcBorders>
            <w:vAlign w:val="center"/>
          </w:tcPr>
          <w:p w14:paraId="53943D7F" w14:textId="77777777" w:rsidR="00631DFD" w:rsidRPr="00F4129E" w:rsidRDefault="00631DFD" w:rsidP="00D03502">
            <w:pPr>
              <w:pStyle w:val="wiTableUndefined"/>
              <w:keepNext w:val="0"/>
              <w:spacing w:before="60" w:after="60"/>
              <w:rPr>
                <w:rFonts w:cs="Arial"/>
              </w:rPr>
            </w:pPr>
          </w:p>
        </w:tc>
      </w:tr>
      <w:tr w:rsidR="00631DFD" w:rsidRPr="00F4129E" w14:paraId="2E8A0C09" w14:textId="77777777" w:rsidTr="00D03502">
        <w:trPr>
          <w:trHeight w:val="288"/>
          <w:jc w:val="right"/>
        </w:trPr>
        <w:tc>
          <w:tcPr>
            <w:tcW w:w="1314" w:type="dxa"/>
            <w:tcBorders>
              <w:top w:val="nil"/>
              <w:bottom w:val="single" w:sz="4" w:space="0" w:color="auto"/>
            </w:tcBorders>
            <w:vAlign w:val="center"/>
          </w:tcPr>
          <w:p w14:paraId="448E6B02" w14:textId="77777777" w:rsidR="00631DFD" w:rsidRPr="00F4129E" w:rsidRDefault="00631DFD" w:rsidP="00D03502">
            <w:pPr>
              <w:pStyle w:val="wiTableUndefined"/>
              <w:keepNext w:val="0"/>
              <w:spacing w:before="60" w:after="60"/>
              <w:rPr>
                <w:rFonts w:cs="Arial"/>
              </w:rPr>
            </w:pPr>
            <w:r w:rsidRPr="00F4129E">
              <w:rPr>
                <w:rFonts w:cs="Arial"/>
              </w:rPr>
              <w:t>6</w:t>
            </w:r>
          </w:p>
        </w:tc>
        <w:tc>
          <w:tcPr>
            <w:tcW w:w="1888" w:type="dxa"/>
            <w:tcBorders>
              <w:top w:val="nil"/>
              <w:bottom w:val="single" w:sz="4" w:space="0" w:color="auto"/>
              <w:right w:val="single" w:sz="4" w:space="0" w:color="auto"/>
            </w:tcBorders>
            <w:vAlign w:val="center"/>
          </w:tcPr>
          <w:p w14:paraId="26AC15C1" w14:textId="77777777" w:rsidR="00631DFD" w:rsidRPr="00F4129E" w:rsidRDefault="00631DFD" w:rsidP="00D03502">
            <w:pPr>
              <w:pStyle w:val="wiTableUndefined"/>
              <w:keepNext w:val="0"/>
              <w:spacing w:before="60" w:after="60"/>
              <w:rPr>
                <w:rFonts w:cs="Arial"/>
              </w:rPr>
            </w:pPr>
            <w:r w:rsidRPr="00F4129E">
              <w:rPr>
                <w:rFonts w:cs="Arial"/>
              </w:rPr>
              <w:t>4.75 mm</w:t>
            </w:r>
          </w:p>
        </w:tc>
        <w:tc>
          <w:tcPr>
            <w:tcW w:w="1352" w:type="dxa"/>
            <w:tcBorders>
              <w:top w:val="nil"/>
              <w:left w:val="single" w:sz="4" w:space="0" w:color="auto"/>
              <w:bottom w:val="single" w:sz="4" w:space="0" w:color="auto"/>
            </w:tcBorders>
            <w:vAlign w:val="center"/>
          </w:tcPr>
          <w:p w14:paraId="32CB416A" w14:textId="77777777" w:rsidR="00631DFD" w:rsidRPr="00F4129E" w:rsidRDefault="00631DFD" w:rsidP="00D03502">
            <w:pPr>
              <w:pStyle w:val="wiTableUndefined"/>
              <w:keepNext w:val="0"/>
              <w:spacing w:before="60" w:after="60"/>
              <w:rPr>
                <w:rFonts w:cs="Arial"/>
              </w:rPr>
            </w:pPr>
          </w:p>
        </w:tc>
        <w:tc>
          <w:tcPr>
            <w:tcW w:w="1488" w:type="dxa"/>
            <w:tcBorders>
              <w:top w:val="nil"/>
              <w:bottom w:val="single" w:sz="4" w:space="0" w:color="auto"/>
              <w:right w:val="single" w:sz="4" w:space="0" w:color="auto"/>
            </w:tcBorders>
            <w:vAlign w:val="center"/>
          </w:tcPr>
          <w:p w14:paraId="3A99511B" w14:textId="77777777" w:rsidR="00631DFD" w:rsidRPr="00F4129E" w:rsidRDefault="00631DFD" w:rsidP="00D03502">
            <w:pPr>
              <w:pStyle w:val="wiTableUndefined"/>
              <w:keepNext w:val="0"/>
              <w:spacing w:before="60" w:after="60"/>
              <w:rPr>
                <w:rFonts w:cs="Arial"/>
              </w:rPr>
            </w:pPr>
          </w:p>
        </w:tc>
        <w:tc>
          <w:tcPr>
            <w:tcW w:w="1392" w:type="dxa"/>
            <w:tcBorders>
              <w:top w:val="nil"/>
              <w:left w:val="single" w:sz="4" w:space="0" w:color="auto"/>
              <w:bottom w:val="single" w:sz="4" w:space="0" w:color="auto"/>
            </w:tcBorders>
            <w:vAlign w:val="center"/>
          </w:tcPr>
          <w:p w14:paraId="26C94B3B" w14:textId="77777777" w:rsidR="00631DFD" w:rsidRPr="00F4129E" w:rsidRDefault="00631DFD" w:rsidP="00D03502">
            <w:pPr>
              <w:pStyle w:val="wiTableUndefined"/>
              <w:keepNext w:val="0"/>
              <w:spacing w:before="60" w:after="60"/>
              <w:rPr>
                <w:rFonts w:cs="Arial"/>
              </w:rPr>
            </w:pPr>
          </w:p>
        </w:tc>
        <w:tc>
          <w:tcPr>
            <w:tcW w:w="1926" w:type="dxa"/>
            <w:tcBorders>
              <w:top w:val="nil"/>
              <w:bottom w:val="single" w:sz="4" w:space="0" w:color="auto"/>
            </w:tcBorders>
            <w:vAlign w:val="center"/>
          </w:tcPr>
          <w:p w14:paraId="1357E8C8" w14:textId="77777777" w:rsidR="00631DFD" w:rsidRPr="00F4129E" w:rsidRDefault="00631DFD" w:rsidP="00D03502">
            <w:pPr>
              <w:pStyle w:val="wiTableUndefined"/>
              <w:keepNext w:val="0"/>
              <w:spacing w:before="60" w:after="60"/>
              <w:rPr>
                <w:rFonts w:cs="Arial"/>
              </w:rPr>
            </w:pPr>
          </w:p>
        </w:tc>
      </w:tr>
    </w:tbl>
    <w:p w14:paraId="36D0B03B" w14:textId="77777777" w:rsidR="007062A8" w:rsidRPr="007062A8" w:rsidRDefault="007062A8" w:rsidP="007062A8">
      <w:pPr>
        <w:pStyle w:val="wiParagraph"/>
        <w:rPr>
          <w:sz w:val="4"/>
          <w:szCs w:val="4"/>
        </w:rPr>
      </w:pPr>
    </w:p>
    <w:p w14:paraId="00FC84C6" w14:textId="62FD9F2F" w:rsidR="00631DFD" w:rsidRDefault="00631DFD" w:rsidP="00631DFD">
      <w:pPr>
        <w:pStyle w:val="wiTableFooter"/>
        <w:keepNext/>
      </w:pPr>
      <w:r w:rsidRPr="00F4129E">
        <w:tab/>
      </w:r>
      <w:r w:rsidRPr="00F4129E">
        <w:rPr>
          <w:i/>
          <w:vertAlign w:val="superscript"/>
        </w:rPr>
        <w:t>[1]</w:t>
      </w:r>
      <w:r w:rsidRPr="00F4129E">
        <w:tab/>
      </w:r>
      <w:proofErr w:type="spellStart"/>
      <w:r w:rsidRPr="00F4129E">
        <w:t>SMA</w:t>
      </w:r>
      <w:proofErr w:type="spellEnd"/>
      <w:r w:rsidRPr="00F4129E">
        <w:t xml:space="preserve"> mixtures are limited to nominal size No. 4 (12.5 mm) or No. 5 (9.5 mm) and binder designation levels H, V, or E.</w:t>
      </w:r>
    </w:p>
    <w:p w14:paraId="727E48B0" w14:textId="6B6D9653" w:rsidR="00631DFD" w:rsidRPr="00F4129E" w:rsidRDefault="00631DFD" w:rsidP="00631DFD">
      <w:pPr>
        <w:pStyle w:val="wiParagraph"/>
      </w:pPr>
      <w:r w:rsidRPr="00F4129E">
        <w:tab/>
      </w:r>
      <w:r w:rsidRPr="00F4129E">
        <w:rPr>
          <w:rStyle w:val="wiParagraphNumber"/>
        </w:rPr>
        <w:t>(2)</w:t>
      </w:r>
      <w:r w:rsidRPr="00F4129E">
        <w:tab/>
        <w:t xml:space="preserve">Construct </w:t>
      </w:r>
      <w:proofErr w:type="spellStart"/>
      <w:r w:rsidRPr="00F4129E">
        <w:t>HMA</w:t>
      </w:r>
      <w:proofErr w:type="spellEnd"/>
      <w:r w:rsidRPr="00F4129E">
        <w:t xml:space="preserve"> pavement conforming to the general provisions of </w:t>
      </w:r>
      <w:r w:rsidRPr="00F4129E">
        <w:rPr>
          <w:rStyle w:val="wiLink"/>
        </w:rPr>
        <w:t>450.3</w:t>
      </w:r>
      <w:r w:rsidRPr="00F4129E">
        <w:t>.</w:t>
      </w:r>
    </w:p>
    <w:p w14:paraId="71B780F2" w14:textId="77777777" w:rsidR="00631DFD" w:rsidRPr="00F4129E" w:rsidRDefault="00631DFD" w:rsidP="00631DFD">
      <w:pPr>
        <w:pStyle w:val="wiHeading2"/>
      </w:pPr>
      <w:proofErr w:type="gramStart"/>
      <w:r w:rsidRPr="00F4129E">
        <w:t>460.3.2  Thickness</w:t>
      </w:r>
      <w:proofErr w:type="gramEnd"/>
    </w:p>
    <w:p w14:paraId="27DAB6C8" w14:textId="4533DDC7" w:rsidR="00631DFD" w:rsidRDefault="00631DFD" w:rsidP="00631DFD">
      <w:pPr>
        <w:pStyle w:val="wiParagraph"/>
      </w:pPr>
      <w:r w:rsidRPr="00F4129E">
        <w:tab/>
      </w:r>
      <w:r w:rsidRPr="00F4129E">
        <w:rPr>
          <w:rStyle w:val="wiParagraphNumber"/>
        </w:rPr>
        <w:t>(1)</w:t>
      </w:r>
      <w:r w:rsidRPr="00F4129E">
        <w:tab/>
        <w:t>Provide the plan thickness for lower and upper layers limited as follows:</w:t>
      </w:r>
    </w:p>
    <w:p w14:paraId="71CFE9BD" w14:textId="77777777" w:rsidR="00EB3016" w:rsidRPr="00F4129E" w:rsidRDefault="00EB3016" w:rsidP="00EB3016">
      <w:pPr>
        <w:pStyle w:val="wiTableBuffer"/>
      </w:pPr>
    </w:p>
    <w:p w14:paraId="0CA2DBAB" w14:textId="62E5B2A3" w:rsidR="00631DFD" w:rsidRPr="00EB3016" w:rsidRDefault="00631DFD" w:rsidP="00631DFD">
      <w:pPr>
        <w:pStyle w:val="wiTable5Col"/>
        <w:keepNext/>
        <w:rPr>
          <w:u w:val="single"/>
        </w:rPr>
      </w:pPr>
      <w:r w:rsidRPr="00F4129E">
        <w:tab/>
      </w:r>
      <w:r w:rsidRPr="00F4129E">
        <w:tab/>
      </w:r>
      <w:r w:rsidRPr="00EB3016">
        <w:rPr>
          <w:u w:val="single"/>
        </w:rPr>
        <w:t>MINIMUM</w:t>
      </w:r>
      <w:r w:rsidRPr="00F4129E">
        <w:tab/>
      </w:r>
      <w:r w:rsidRPr="00EB3016">
        <w:rPr>
          <w:u w:val="single"/>
        </w:rPr>
        <w:t>MAX LOWER</w:t>
      </w:r>
      <w:r w:rsidRPr="00EB3016">
        <w:tab/>
      </w:r>
      <w:r w:rsidRPr="00EB3016">
        <w:rPr>
          <w:u w:val="single"/>
        </w:rPr>
        <w:t>MAX UPPER</w:t>
      </w:r>
      <w:r w:rsidRPr="00EB3016">
        <w:tab/>
      </w:r>
      <w:r w:rsidRPr="00EB3016">
        <w:rPr>
          <w:u w:val="single"/>
        </w:rPr>
        <w:t>MAX SINGLE</w:t>
      </w:r>
    </w:p>
    <w:p w14:paraId="5ED1EDC2" w14:textId="079795F7" w:rsidR="00631DFD" w:rsidRPr="00EB3016" w:rsidRDefault="00631DFD" w:rsidP="00631DFD">
      <w:pPr>
        <w:pStyle w:val="wiTable5Col"/>
        <w:keepNext/>
        <w:rPr>
          <w:u w:val="single"/>
        </w:rPr>
      </w:pPr>
      <w:r w:rsidRPr="00EB3016">
        <w:tab/>
      </w:r>
      <w:r w:rsidRPr="00EB3016">
        <w:tab/>
      </w:r>
      <w:r w:rsidRPr="00EB3016">
        <w:rPr>
          <w:u w:val="single"/>
        </w:rPr>
        <w:t>LAYER</w:t>
      </w:r>
      <w:r w:rsidRPr="00EB3016">
        <w:tab/>
      </w:r>
      <w:proofErr w:type="spellStart"/>
      <w:r w:rsidRPr="00EB3016">
        <w:rPr>
          <w:u w:val="single"/>
        </w:rPr>
        <w:t>LAYER</w:t>
      </w:r>
      <w:proofErr w:type="spellEnd"/>
      <w:r w:rsidRPr="00EB3016">
        <w:tab/>
      </w:r>
      <w:proofErr w:type="spellStart"/>
      <w:r w:rsidRPr="00EB3016">
        <w:rPr>
          <w:u w:val="single"/>
        </w:rPr>
        <w:t>LAYER</w:t>
      </w:r>
      <w:proofErr w:type="spellEnd"/>
      <w:r w:rsidRPr="00EB3016">
        <w:tab/>
      </w:r>
      <w:proofErr w:type="spellStart"/>
      <w:r w:rsidRPr="00EB3016">
        <w:rPr>
          <w:u w:val="single"/>
        </w:rPr>
        <w:t>LAYER</w:t>
      </w:r>
      <w:proofErr w:type="spellEnd"/>
    </w:p>
    <w:p w14:paraId="369B25FC" w14:textId="02A46F0A" w:rsidR="00631DFD" w:rsidRPr="00EB3016" w:rsidRDefault="00631DFD" w:rsidP="00631DFD">
      <w:pPr>
        <w:pStyle w:val="wiTable5Col"/>
        <w:keepNext/>
        <w:rPr>
          <w:u w:val="single"/>
        </w:rPr>
      </w:pPr>
      <w:r w:rsidRPr="00EB3016">
        <w:tab/>
      </w:r>
      <w:r w:rsidR="00EB3016" w:rsidRPr="00EB3016">
        <w:rPr>
          <w:u w:val="single"/>
        </w:rPr>
        <w:t>NOMINAL</w:t>
      </w:r>
      <w:r w:rsidRPr="00EB3016">
        <w:tab/>
      </w:r>
      <w:r w:rsidRPr="00EB3016">
        <w:rPr>
          <w:u w:val="single"/>
        </w:rPr>
        <w:t>THICKNESS</w:t>
      </w:r>
      <w:r w:rsidRPr="00EB3016">
        <w:tab/>
      </w:r>
      <w:proofErr w:type="spellStart"/>
      <w:r w:rsidRPr="00EB3016">
        <w:rPr>
          <w:u w:val="single"/>
        </w:rPr>
        <w:t>THICKNESS</w:t>
      </w:r>
      <w:proofErr w:type="spellEnd"/>
      <w:r w:rsidRPr="00EB3016">
        <w:tab/>
      </w:r>
      <w:proofErr w:type="spellStart"/>
      <w:r w:rsidRPr="00EB3016">
        <w:rPr>
          <w:u w:val="single"/>
        </w:rPr>
        <w:t>THICKNESS</w:t>
      </w:r>
      <w:proofErr w:type="spellEnd"/>
      <w:r w:rsidRPr="00EB3016">
        <w:tab/>
      </w:r>
      <w:proofErr w:type="gramStart"/>
      <w:r w:rsidRPr="00EB3016">
        <w:rPr>
          <w:u w:val="single"/>
        </w:rPr>
        <w:t>THICKNESS</w:t>
      </w:r>
      <w:r w:rsidRPr="00EB3016">
        <w:rPr>
          <w:i/>
          <w:u w:val="single"/>
          <w:vertAlign w:val="superscript"/>
        </w:rPr>
        <w:t>[</w:t>
      </w:r>
      <w:proofErr w:type="gramEnd"/>
      <w:r w:rsidRPr="00EB3016">
        <w:rPr>
          <w:i/>
          <w:u w:val="single"/>
          <w:vertAlign w:val="superscript"/>
        </w:rPr>
        <w:t>3]</w:t>
      </w:r>
    </w:p>
    <w:p w14:paraId="790D0DB5" w14:textId="49CF306D" w:rsidR="00631DFD" w:rsidRPr="00EB3016" w:rsidRDefault="00631DFD" w:rsidP="00631DFD">
      <w:pPr>
        <w:pStyle w:val="wiTable5Col"/>
        <w:keepNext/>
        <w:rPr>
          <w:u w:val="single"/>
        </w:rPr>
      </w:pPr>
      <w:r w:rsidRPr="00EB3016">
        <w:tab/>
      </w:r>
      <w:r w:rsidR="00EB3016" w:rsidRPr="00EB3016">
        <w:rPr>
          <w:u w:val="single"/>
        </w:rPr>
        <w:t>SIZE</w:t>
      </w:r>
      <w:r w:rsidRPr="00EB3016">
        <w:tab/>
      </w:r>
      <w:r w:rsidRPr="00EB3016">
        <w:rPr>
          <w:u w:val="single"/>
        </w:rPr>
        <w:t>(in inches)</w:t>
      </w:r>
      <w:r w:rsidRPr="00EB3016">
        <w:tab/>
      </w:r>
      <w:r w:rsidRPr="00EB3016">
        <w:rPr>
          <w:u w:val="single"/>
        </w:rPr>
        <w:t>(in inches)</w:t>
      </w:r>
      <w:r w:rsidRPr="00EB3016">
        <w:tab/>
      </w:r>
      <w:r w:rsidRPr="00EB3016">
        <w:rPr>
          <w:u w:val="single"/>
        </w:rPr>
        <w:t>(in inches)</w:t>
      </w:r>
      <w:r w:rsidRPr="00EB3016">
        <w:tab/>
      </w:r>
      <w:r w:rsidRPr="00EB3016">
        <w:rPr>
          <w:u w:val="single"/>
        </w:rPr>
        <w:t>(in inches)</w:t>
      </w:r>
    </w:p>
    <w:p w14:paraId="04D3DECE" w14:textId="77777777" w:rsidR="00631DFD" w:rsidRPr="00F4129E" w:rsidRDefault="00631DFD" w:rsidP="00631DFD">
      <w:pPr>
        <w:pStyle w:val="wiTable5Col"/>
        <w:keepNext/>
      </w:pPr>
      <w:r w:rsidRPr="00F4129E">
        <w:tab/>
        <w:t>No. 1 (37.5 mm)</w:t>
      </w:r>
      <w:r w:rsidRPr="00F4129E">
        <w:tab/>
        <w:t>4.5</w:t>
      </w:r>
      <w:r w:rsidRPr="00F4129E">
        <w:tab/>
        <w:t>6</w:t>
      </w:r>
      <w:r w:rsidRPr="00F4129E">
        <w:tab/>
        <w:t>4.5</w:t>
      </w:r>
      <w:r w:rsidRPr="00F4129E">
        <w:tab/>
        <w:t>6</w:t>
      </w:r>
    </w:p>
    <w:p w14:paraId="4F1736AA" w14:textId="77777777" w:rsidR="00631DFD" w:rsidRPr="00F4129E" w:rsidRDefault="00631DFD" w:rsidP="00631DFD">
      <w:pPr>
        <w:pStyle w:val="wiTable5Col"/>
        <w:keepNext/>
      </w:pPr>
      <w:r w:rsidRPr="00F4129E">
        <w:tab/>
        <w:t>No. 2 (25.0 mm)</w:t>
      </w:r>
      <w:r w:rsidRPr="00F4129E">
        <w:tab/>
        <w:t>3.0</w:t>
      </w:r>
      <w:r w:rsidRPr="00F4129E">
        <w:tab/>
        <w:t>5</w:t>
      </w:r>
      <w:r w:rsidRPr="00F4129E">
        <w:tab/>
        <w:t>4</w:t>
      </w:r>
      <w:r w:rsidRPr="00F4129E">
        <w:tab/>
        <w:t>6</w:t>
      </w:r>
    </w:p>
    <w:p w14:paraId="4898E994" w14:textId="0FB08A3D" w:rsidR="00631DFD" w:rsidRPr="00F4129E" w:rsidRDefault="00631DFD" w:rsidP="00631DFD">
      <w:pPr>
        <w:pStyle w:val="wiTable5Col"/>
        <w:keepNext/>
      </w:pPr>
      <w:r w:rsidRPr="00F4129E">
        <w:tab/>
        <w:t>No. 3 (19.0 mm</w:t>
      </w:r>
      <w:r w:rsidR="00117213">
        <w:t>)</w:t>
      </w:r>
      <w:r w:rsidRPr="00F4129E">
        <w:tab/>
        <w:t>2.25</w:t>
      </w:r>
      <w:r w:rsidRPr="00F4129E">
        <w:tab/>
        <w:t>4</w:t>
      </w:r>
      <w:r w:rsidRPr="00F4129E">
        <w:tab/>
        <w:t>3</w:t>
      </w:r>
      <w:r w:rsidRPr="00F4129E">
        <w:tab/>
        <w:t>5</w:t>
      </w:r>
    </w:p>
    <w:p w14:paraId="2D45BA18" w14:textId="77777777" w:rsidR="00631DFD" w:rsidRPr="00F4129E" w:rsidRDefault="00631DFD" w:rsidP="00631DFD">
      <w:pPr>
        <w:pStyle w:val="wiTable5Col"/>
        <w:keepNext/>
      </w:pPr>
      <w:r w:rsidRPr="00F4129E">
        <w:tab/>
        <w:t xml:space="preserve">No. 4 (12.5 </w:t>
      </w:r>
      <w:proofErr w:type="gramStart"/>
      <w:r w:rsidRPr="00F4129E">
        <w:t>mm)</w:t>
      </w:r>
      <w:r w:rsidRPr="00F4129E">
        <w:rPr>
          <w:i/>
          <w:vertAlign w:val="superscript"/>
        </w:rPr>
        <w:t>[</w:t>
      </w:r>
      <w:proofErr w:type="gramEnd"/>
      <w:r w:rsidRPr="00F4129E">
        <w:rPr>
          <w:i/>
          <w:vertAlign w:val="superscript"/>
        </w:rPr>
        <w:t>1]</w:t>
      </w:r>
      <w:r w:rsidRPr="00F4129E">
        <w:tab/>
        <w:t>1.75</w:t>
      </w:r>
      <w:r w:rsidRPr="00F4129E">
        <w:tab/>
        <w:t>3</w:t>
      </w:r>
      <w:r w:rsidRPr="00F4129E">
        <w:rPr>
          <w:i/>
          <w:vertAlign w:val="superscript"/>
        </w:rPr>
        <w:t>[2]</w:t>
      </w:r>
      <w:r w:rsidRPr="00F4129E">
        <w:tab/>
        <w:t>2.5</w:t>
      </w:r>
      <w:r w:rsidRPr="00F4129E">
        <w:tab/>
        <w:t>4</w:t>
      </w:r>
    </w:p>
    <w:p w14:paraId="6700F0B3" w14:textId="77777777" w:rsidR="00631DFD" w:rsidRPr="00F4129E" w:rsidRDefault="00631DFD" w:rsidP="00631DFD">
      <w:pPr>
        <w:pStyle w:val="wiTable5Col"/>
        <w:keepNext/>
      </w:pPr>
      <w:r w:rsidRPr="00F4129E">
        <w:tab/>
        <w:t xml:space="preserve">No. 5 (9.5 </w:t>
      </w:r>
      <w:proofErr w:type="gramStart"/>
      <w:r w:rsidRPr="00F4129E">
        <w:t>mm)</w:t>
      </w:r>
      <w:r w:rsidRPr="00F4129E">
        <w:rPr>
          <w:i/>
          <w:vertAlign w:val="superscript"/>
        </w:rPr>
        <w:t>[</w:t>
      </w:r>
      <w:proofErr w:type="gramEnd"/>
      <w:r w:rsidRPr="00F4129E">
        <w:rPr>
          <w:i/>
          <w:vertAlign w:val="superscript"/>
        </w:rPr>
        <w:t>1]</w:t>
      </w:r>
      <w:r w:rsidRPr="00F4129E">
        <w:tab/>
        <w:t>1.25</w:t>
      </w:r>
      <w:r w:rsidRPr="00F4129E">
        <w:tab/>
        <w:t>3</w:t>
      </w:r>
      <w:r w:rsidRPr="00F4129E">
        <w:rPr>
          <w:i/>
          <w:vertAlign w:val="superscript"/>
        </w:rPr>
        <w:t>[2]</w:t>
      </w:r>
      <w:r w:rsidRPr="00F4129E">
        <w:tab/>
        <w:t>2</w:t>
      </w:r>
      <w:r w:rsidRPr="00F4129E">
        <w:tab/>
        <w:t>3</w:t>
      </w:r>
    </w:p>
    <w:p w14:paraId="2A1EF5E5" w14:textId="77777777" w:rsidR="00631DFD" w:rsidRPr="00F4129E" w:rsidRDefault="00631DFD" w:rsidP="00631DFD">
      <w:pPr>
        <w:pStyle w:val="wiTable5Col"/>
        <w:keepNext/>
      </w:pPr>
      <w:r w:rsidRPr="00F4129E">
        <w:tab/>
        <w:t>No. 6 (4.75 mm)</w:t>
      </w:r>
      <w:r w:rsidRPr="00F4129E">
        <w:tab/>
        <w:t>0.75</w:t>
      </w:r>
      <w:r w:rsidRPr="00F4129E">
        <w:tab/>
        <w:t>1.25</w:t>
      </w:r>
      <w:r w:rsidRPr="00F4129E">
        <w:tab/>
        <w:t>1.25</w:t>
      </w:r>
      <w:r w:rsidRPr="00F4129E">
        <w:tab/>
        <w:t>1.25</w:t>
      </w:r>
    </w:p>
    <w:p w14:paraId="12E13BFA" w14:textId="77777777" w:rsidR="00EB3016" w:rsidRDefault="00EB3016" w:rsidP="00EB3016">
      <w:pPr>
        <w:pStyle w:val="wiTableBuffer"/>
      </w:pPr>
    </w:p>
    <w:p w14:paraId="00CC1721" w14:textId="023052B3" w:rsidR="00631DFD" w:rsidRPr="00F4129E" w:rsidRDefault="00631DFD" w:rsidP="00631DFD">
      <w:pPr>
        <w:pStyle w:val="wiFootnote"/>
      </w:pPr>
      <w:r w:rsidRPr="00F4129E">
        <w:tab/>
      </w:r>
      <w:r w:rsidRPr="00F4129E">
        <w:rPr>
          <w:i/>
          <w:vertAlign w:val="superscript"/>
        </w:rPr>
        <w:t>[1]</w:t>
      </w:r>
      <w:r w:rsidRPr="00F4129E">
        <w:tab/>
      </w:r>
      <w:proofErr w:type="spellStart"/>
      <w:r w:rsidRPr="00F4129E">
        <w:t>SMA</w:t>
      </w:r>
      <w:proofErr w:type="spellEnd"/>
      <w:r w:rsidRPr="00F4129E">
        <w:t xml:space="preserve"> mixtures use nominal size No. 4 (12.5 mm) or No. 5 (9.5 mm).</w:t>
      </w:r>
    </w:p>
    <w:p w14:paraId="30A004A9" w14:textId="77777777" w:rsidR="00631DFD" w:rsidRPr="00F4129E" w:rsidRDefault="00631DFD" w:rsidP="00631DFD">
      <w:pPr>
        <w:pStyle w:val="wiFootnote"/>
      </w:pPr>
      <w:r w:rsidRPr="00F4129E">
        <w:tab/>
      </w:r>
      <w:r w:rsidRPr="00F4129E">
        <w:rPr>
          <w:i/>
          <w:vertAlign w:val="superscript"/>
        </w:rPr>
        <w:t>[2]</w:t>
      </w:r>
      <w:r w:rsidRPr="00F4129E">
        <w:tab/>
      </w:r>
      <w:proofErr w:type="spellStart"/>
      <w:r w:rsidRPr="00F4129E">
        <w:t>SMA</w:t>
      </w:r>
      <w:proofErr w:type="spellEnd"/>
      <w:r w:rsidRPr="00F4129E">
        <w:t xml:space="preserve"> mixtures with nominal sizes of No. 4 (12.5 mm) and No. 5 (9.5 mm) have no maximum lower layer thickness specified.</w:t>
      </w:r>
    </w:p>
    <w:p w14:paraId="05DF9FAA" w14:textId="4118F23E" w:rsidR="00631DFD" w:rsidRDefault="00631DFD" w:rsidP="00631DFD">
      <w:pPr>
        <w:pStyle w:val="wiFootnote"/>
      </w:pPr>
      <w:r w:rsidRPr="00F4129E">
        <w:tab/>
      </w:r>
      <w:r w:rsidRPr="00F4129E">
        <w:rPr>
          <w:i/>
          <w:vertAlign w:val="superscript"/>
        </w:rPr>
        <w:t>[3]</w:t>
      </w:r>
      <w:r w:rsidRPr="00F4129E">
        <w:tab/>
        <w:t xml:space="preserve">For use on </w:t>
      </w:r>
      <w:proofErr w:type="gramStart"/>
      <w:r w:rsidRPr="00F4129E">
        <w:t>cross-overs</w:t>
      </w:r>
      <w:proofErr w:type="gramEnd"/>
      <w:r w:rsidRPr="00F4129E">
        <w:t xml:space="preserve"> and shoulders.</w:t>
      </w:r>
    </w:p>
    <w:p w14:paraId="7BD1C21D" w14:textId="77777777" w:rsidR="007062A8" w:rsidRPr="007062A8" w:rsidRDefault="007062A8" w:rsidP="00047260">
      <w:pPr>
        <w:pStyle w:val="wiTableBuffer"/>
      </w:pPr>
    </w:p>
    <w:p w14:paraId="6EFCFAAF" w14:textId="74304B9D" w:rsidR="00631DFD" w:rsidRPr="00F4129E" w:rsidRDefault="00631DFD" w:rsidP="00631DFD">
      <w:pPr>
        <w:pStyle w:val="wiParagraph"/>
      </w:pPr>
      <w:r w:rsidRPr="00F4129E">
        <w:tab/>
      </w:r>
      <w:r w:rsidRPr="00F4129E">
        <w:rPr>
          <w:rStyle w:val="wiParagraphNumber"/>
        </w:rPr>
        <w:t>(2)</w:t>
      </w:r>
      <w:r w:rsidRPr="00F4129E">
        <w:tab/>
        <w:t>Place leveling layers using No. 4 (12.5 mm), No. 5 (9.5 mm), or No. 6 (4.75 mm) mixtures. Leveling layers may be thinner than the minimum lower layer thickness for the mixture used.</w:t>
      </w:r>
    </w:p>
    <w:p w14:paraId="7A29FD6D" w14:textId="77777777" w:rsidR="00631DFD" w:rsidRPr="00F4129E" w:rsidRDefault="00631DFD" w:rsidP="00631DFD">
      <w:pPr>
        <w:pStyle w:val="wiParagraph"/>
      </w:pPr>
      <w:r w:rsidRPr="00F4129E">
        <w:lastRenderedPageBreak/>
        <w:tab/>
      </w:r>
      <w:r w:rsidRPr="00F4129E">
        <w:rPr>
          <w:rStyle w:val="wiParagraphNumber"/>
        </w:rPr>
        <w:t>(3)</w:t>
      </w:r>
      <w:r w:rsidRPr="00F4129E">
        <w:tab/>
        <w:t>Place wedging layers as the contract specifies or engineer directs. Wedging layers have no specified minimum or maximum thickness.</w:t>
      </w:r>
    </w:p>
    <w:p w14:paraId="37EC2BC5" w14:textId="77777777" w:rsidR="00631DFD" w:rsidRPr="00F4129E" w:rsidRDefault="00631DFD" w:rsidP="00631DFD">
      <w:pPr>
        <w:pStyle w:val="wiHeading2"/>
      </w:pPr>
      <w:proofErr w:type="gramStart"/>
      <w:r w:rsidRPr="00F4129E">
        <w:t xml:space="preserve">460.3.3  </w:t>
      </w:r>
      <w:proofErr w:type="spellStart"/>
      <w:r w:rsidRPr="00F4129E">
        <w:t>HMA</w:t>
      </w:r>
      <w:proofErr w:type="spellEnd"/>
      <w:proofErr w:type="gramEnd"/>
      <w:r w:rsidRPr="00F4129E">
        <w:t xml:space="preserve"> Pavement Density Maximum Density Method</w:t>
      </w:r>
    </w:p>
    <w:p w14:paraId="7A57F111" w14:textId="77777777" w:rsidR="00631DFD" w:rsidRPr="00F4129E" w:rsidRDefault="00631DFD" w:rsidP="00631DFD">
      <w:pPr>
        <w:pStyle w:val="wiHeading3"/>
      </w:pPr>
      <w:proofErr w:type="gramStart"/>
      <w:r w:rsidRPr="00F4129E">
        <w:t>460.3.3.1  Minimum</w:t>
      </w:r>
      <w:proofErr w:type="gramEnd"/>
      <w:r w:rsidRPr="00F4129E">
        <w:t xml:space="preserve"> Required Density</w:t>
      </w:r>
    </w:p>
    <w:p w14:paraId="1AC8047A" w14:textId="77777777" w:rsidR="00631DFD" w:rsidRPr="00F4129E" w:rsidRDefault="00631DFD" w:rsidP="00631DFD">
      <w:pPr>
        <w:pStyle w:val="wiParagraph"/>
      </w:pPr>
      <w:r w:rsidRPr="00F4129E">
        <w:tab/>
      </w:r>
      <w:r w:rsidRPr="00F4129E">
        <w:rPr>
          <w:rStyle w:val="wiParagraphNumber"/>
        </w:rPr>
        <w:t>(1)</w:t>
      </w:r>
      <w:r w:rsidRPr="00F4129E">
        <w:tab/>
        <w:t xml:space="preserve">Compact No. 6 mixtures in lower layers as specified in </w:t>
      </w:r>
      <w:r w:rsidRPr="00F4129E">
        <w:rPr>
          <w:rStyle w:val="wiLink"/>
        </w:rPr>
        <w:t>450.3.2.6.2</w:t>
      </w:r>
      <w:r w:rsidRPr="00F4129E">
        <w:t xml:space="preserve"> and in upper layers as specified in </w:t>
      </w:r>
      <w:r w:rsidRPr="00F4129E">
        <w:rPr>
          <w:rStyle w:val="wiLink"/>
        </w:rPr>
        <w:t>450.3.2.6.3</w:t>
      </w:r>
      <w:r w:rsidRPr="00F4129E">
        <w:t xml:space="preserve">. For other </w:t>
      </w:r>
      <w:proofErr w:type="spellStart"/>
      <w:r w:rsidRPr="00F4129E">
        <w:t>HMA</w:t>
      </w:r>
      <w:proofErr w:type="spellEnd"/>
      <w:r w:rsidRPr="00F4129E">
        <w:t xml:space="preserve"> mixtures, compact layers to the density table 460-3 specifies.</w:t>
      </w:r>
    </w:p>
    <w:p w14:paraId="066073FF" w14:textId="77777777" w:rsidR="00631DFD" w:rsidRPr="00F4129E" w:rsidRDefault="00631DFD" w:rsidP="00631DFD">
      <w:pPr>
        <w:pStyle w:val="wiTableTitle"/>
      </w:pPr>
      <w:r w:rsidRPr="00F4129E">
        <w:t>TABLE 460-</w:t>
      </w:r>
      <w:proofErr w:type="gramStart"/>
      <w:r w:rsidRPr="00F4129E">
        <w:t>3  MINIMUM</w:t>
      </w:r>
      <w:proofErr w:type="gramEnd"/>
      <w:r w:rsidRPr="00F4129E">
        <w:t xml:space="preserve"> REQUIRED DENSITY</w:t>
      </w:r>
      <w:r w:rsidRPr="00F4129E">
        <w:rPr>
          <w:i/>
          <w:vertAlign w:val="superscript"/>
        </w:rPr>
        <w:t>[1]</w:t>
      </w:r>
    </w:p>
    <w:p w14:paraId="3D4EAF8A" w14:textId="77777777" w:rsidR="00631DFD" w:rsidRPr="00F4129E" w:rsidRDefault="00631DFD" w:rsidP="00631DFD">
      <w:pPr>
        <w:pStyle w:val="wiTableBuffer"/>
      </w:pPr>
    </w:p>
    <w:tbl>
      <w:tblPr>
        <w:tblW w:w="93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1790"/>
        <w:gridCol w:w="1436"/>
        <w:gridCol w:w="2159"/>
        <w:gridCol w:w="2158"/>
        <w:gridCol w:w="1817"/>
      </w:tblGrid>
      <w:tr w:rsidR="00631DFD" w:rsidRPr="00F4129E" w14:paraId="35C3E7A0" w14:textId="77777777" w:rsidTr="00D03502">
        <w:trPr>
          <w:cantSplit/>
        </w:trPr>
        <w:tc>
          <w:tcPr>
            <w:tcW w:w="1790" w:type="dxa"/>
            <w:vMerge w:val="restart"/>
            <w:shd w:val="clear" w:color="auto" w:fill="D9D9D9" w:themeFill="background1" w:themeFillShade="D9"/>
            <w:vAlign w:val="center"/>
          </w:tcPr>
          <w:p w14:paraId="0EB119ED" w14:textId="77777777" w:rsidR="00631DFD" w:rsidRPr="00F4129E" w:rsidRDefault="00631DFD" w:rsidP="00D03502">
            <w:pPr>
              <w:pStyle w:val="wiTableUndefined"/>
              <w:spacing w:before="20" w:after="20"/>
            </w:pPr>
            <w:r w:rsidRPr="00F4129E">
              <w:t>LOCATION</w:t>
            </w:r>
          </w:p>
        </w:tc>
        <w:tc>
          <w:tcPr>
            <w:tcW w:w="1436" w:type="dxa"/>
            <w:vMerge w:val="restart"/>
            <w:shd w:val="clear" w:color="auto" w:fill="D9D9D9" w:themeFill="background1" w:themeFillShade="D9"/>
            <w:vAlign w:val="center"/>
          </w:tcPr>
          <w:p w14:paraId="3B3C55F1" w14:textId="77777777" w:rsidR="00631DFD" w:rsidRPr="00F4129E" w:rsidRDefault="00631DFD" w:rsidP="00D03502">
            <w:pPr>
              <w:pStyle w:val="wiTableUndefined"/>
              <w:spacing w:before="20" w:after="20"/>
            </w:pPr>
            <w:r w:rsidRPr="00F4129E">
              <w:t>LAYER</w:t>
            </w:r>
          </w:p>
        </w:tc>
        <w:tc>
          <w:tcPr>
            <w:tcW w:w="6134" w:type="dxa"/>
            <w:gridSpan w:val="3"/>
            <w:shd w:val="clear" w:color="auto" w:fill="D9D9D9" w:themeFill="background1" w:themeFillShade="D9"/>
            <w:vAlign w:val="center"/>
          </w:tcPr>
          <w:p w14:paraId="14B9C4E9" w14:textId="77777777" w:rsidR="00631DFD" w:rsidRPr="00F4129E" w:rsidRDefault="00631DFD" w:rsidP="00D03502">
            <w:pPr>
              <w:pStyle w:val="wiTableUndefined"/>
              <w:spacing w:before="20" w:after="20"/>
            </w:pPr>
            <w:r w:rsidRPr="00F4129E">
              <w:t>PERCENT OF TARGET MAXIMUM DENSITY</w:t>
            </w:r>
          </w:p>
        </w:tc>
      </w:tr>
      <w:tr w:rsidR="00631DFD" w:rsidRPr="00F4129E" w14:paraId="786EC5E8" w14:textId="77777777" w:rsidTr="00D03502">
        <w:trPr>
          <w:cantSplit/>
        </w:trPr>
        <w:tc>
          <w:tcPr>
            <w:tcW w:w="1790" w:type="dxa"/>
            <w:vMerge/>
            <w:shd w:val="clear" w:color="auto" w:fill="D9D9D9" w:themeFill="background1" w:themeFillShade="D9"/>
            <w:vAlign w:val="center"/>
          </w:tcPr>
          <w:p w14:paraId="3799BBD1" w14:textId="77777777" w:rsidR="00631DFD" w:rsidRPr="00F4129E" w:rsidRDefault="00631DFD" w:rsidP="00D03502">
            <w:pPr>
              <w:pStyle w:val="wiTableUndefined"/>
              <w:spacing w:before="20" w:after="20"/>
            </w:pPr>
          </w:p>
        </w:tc>
        <w:tc>
          <w:tcPr>
            <w:tcW w:w="1436" w:type="dxa"/>
            <w:vMerge/>
            <w:shd w:val="clear" w:color="auto" w:fill="D9D9D9" w:themeFill="background1" w:themeFillShade="D9"/>
            <w:vAlign w:val="center"/>
          </w:tcPr>
          <w:p w14:paraId="1FC720D6" w14:textId="77777777" w:rsidR="00631DFD" w:rsidRPr="00F4129E" w:rsidRDefault="00631DFD" w:rsidP="00D03502">
            <w:pPr>
              <w:pStyle w:val="wiTableUndefined"/>
              <w:spacing w:before="20" w:after="20"/>
            </w:pPr>
          </w:p>
        </w:tc>
        <w:tc>
          <w:tcPr>
            <w:tcW w:w="6134" w:type="dxa"/>
            <w:gridSpan w:val="3"/>
            <w:shd w:val="clear" w:color="auto" w:fill="D9D9D9" w:themeFill="background1" w:themeFillShade="D9"/>
            <w:vAlign w:val="center"/>
          </w:tcPr>
          <w:p w14:paraId="35437867" w14:textId="77777777" w:rsidR="00631DFD" w:rsidRPr="00F4129E" w:rsidRDefault="00631DFD" w:rsidP="00D03502">
            <w:pPr>
              <w:pStyle w:val="wiTableUndefined"/>
              <w:spacing w:before="20" w:after="20"/>
            </w:pPr>
            <w:r w:rsidRPr="00F4129E">
              <w:t>MIXTURE TYPE</w:t>
            </w:r>
          </w:p>
        </w:tc>
      </w:tr>
      <w:tr w:rsidR="00631DFD" w:rsidRPr="00F4129E" w14:paraId="2F0186AF" w14:textId="77777777" w:rsidTr="00D03502">
        <w:trPr>
          <w:cantSplit/>
        </w:trPr>
        <w:tc>
          <w:tcPr>
            <w:tcW w:w="1790" w:type="dxa"/>
            <w:vMerge/>
            <w:shd w:val="clear" w:color="auto" w:fill="D9D9D9" w:themeFill="background1" w:themeFillShade="D9"/>
            <w:vAlign w:val="center"/>
          </w:tcPr>
          <w:p w14:paraId="4CAB41DA" w14:textId="77777777" w:rsidR="00631DFD" w:rsidRPr="00F4129E" w:rsidRDefault="00631DFD" w:rsidP="00D03502">
            <w:pPr>
              <w:pStyle w:val="wiTableUndefined"/>
              <w:spacing w:before="20" w:after="20"/>
            </w:pPr>
          </w:p>
        </w:tc>
        <w:tc>
          <w:tcPr>
            <w:tcW w:w="1436" w:type="dxa"/>
            <w:vMerge/>
            <w:shd w:val="clear" w:color="auto" w:fill="D9D9D9" w:themeFill="background1" w:themeFillShade="D9"/>
            <w:vAlign w:val="center"/>
          </w:tcPr>
          <w:p w14:paraId="610A29AD" w14:textId="77777777" w:rsidR="00631DFD" w:rsidRPr="00F4129E" w:rsidRDefault="00631DFD" w:rsidP="00D03502">
            <w:pPr>
              <w:pStyle w:val="wiTableUndefined"/>
              <w:spacing w:before="20" w:after="20"/>
            </w:pPr>
          </w:p>
        </w:tc>
        <w:tc>
          <w:tcPr>
            <w:tcW w:w="2159" w:type="dxa"/>
            <w:shd w:val="clear" w:color="auto" w:fill="D9D9D9" w:themeFill="background1" w:themeFillShade="D9"/>
            <w:vAlign w:val="center"/>
          </w:tcPr>
          <w:p w14:paraId="5DEDB7C0" w14:textId="77777777" w:rsidR="00631DFD" w:rsidRPr="00F4129E" w:rsidRDefault="00631DFD" w:rsidP="00D03502">
            <w:pPr>
              <w:pStyle w:val="wiTableUndefined"/>
              <w:spacing w:before="20" w:after="20"/>
            </w:pPr>
            <w:r w:rsidRPr="00F4129E">
              <w:t>LT and MT</w:t>
            </w:r>
          </w:p>
        </w:tc>
        <w:tc>
          <w:tcPr>
            <w:tcW w:w="2158" w:type="dxa"/>
            <w:shd w:val="clear" w:color="auto" w:fill="D9D9D9" w:themeFill="background1" w:themeFillShade="D9"/>
            <w:vAlign w:val="center"/>
          </w:tcPr>
          <w:p w14:paraId="03AF1BCB" w14:textId="77777777" w:rsidR="00631DFD" w:rsidRPr="00F4129E" w:rsidRDefault="00631DFD" w:rsidP="00D03502">
            <w:pPr>
              <w:pStyle w:val="wiTableUndefined"/>
              <w:spacing w:before="20" w:after="20"/>
            </w:pPr>
            <w:r w:rsidRPr="00F4129E">
              <w:t>HT</w:t>
            </w:r>
          </w:p>
        </w:tc>
        <w:tc>
          <w:tcPr>
            <w:tcW w:w="1817" w:type="dxa"/>
            <w:shd w:val="clear" w:color="auto" w:fill="D9D9D9" w:themeFill="background1" w:themeFillShade="D9"/>
            <w:vAlign w:val="center"/>
          </w:tcPr>
          <w:p w14:paraId="6FC9E275" w14:textId="77777777" w:rsidR="00631DFD" w:rsidRPr="00F4129E" w:rsidRDefault="00631DFD" w:rsidP="00D03502">
            <w:pPr>
              <w:pStyle w:val="wiTableUndefined"/>
              <w:spacing w:before="20" w:after="20"/>
            </w:pPr>
            <w:proofErr w:type="spellStart"/>
            <w:r w:rsidRPr="00F4129E">
              <w:t>SMA</w:t>
            </w:r>
            <w:proofErr w:type="spellEnd"/>
          </w:p>
        </w:tc>
      </w:tr>
      <w:tr w:rsidR="00631DFD" w:rsidRPr="00F4129E" w14:paraId="534D850F" w14:textId="77777777" w:rsidTr="00D03502">
        <w:trPr>
          <w:cantSplit/>
        </w:trPr>
        <w:tc>
          <w:tcPr>
            <w:tcW w:w="1790" w:type="dxa"/>
            <w:vMerge w:val="restart"/>
            <w:vAlign w:val="center"/>
          </w:tcPr>
          <w:p w14:paraId="6898BBDE" w14:textId="77777777" w:rsidR="00631DFD" w:rsidRPr="00F4129E" w:rsidRDefault="00631DFD" w:rsidP="00D03502">
            <w:pPr>
              <w:pStyle w:val="wiTableUndefined"/>
              <w:spacing w:before="20" w:after="20"/>
            </w:pPr>
            <w:r w:rsidRPr="00F4129E">
              <w:t xml:space="preserve">TRAFFIC </w:t>
            </w:r>
            <w:proofErr w:type="gramStart"/>
            <w:r w:rsidRPr="00F4129E">
              <w:t>LANES</w:t>
            </w:r>
            <w:r w:rsidRPr="00F4129E">
              <w:rPr>
                <w:i/>
                <w:vertAlign w:val="superscript"/>
              </w:rPr>
              <w:t>[</w:t>
            </w:r>
            <w:proofErr w:type="gramEnd"/>
            <w:r w:rsidRPr="00F4129E">
              <w:rPr>
                <w:i/>
                <w:vertAlign w:val="superscript"/>
              </w:rPr>
              <w:t>2]</w:t>
            </w:r>
          </w:p>
        </w:tc>
        <w:tc>
          <w:tcPr>
            <w:tcW w:w="1436" w:type="dxa"/>
            <w:tcBorders>
              <w:bottom w:val="nil"/>
            </w:tcBorders>
            <w:vAlign w:val="center"/>
          </w:tcPr>
          <w:p w14:paraId="466C1AC0" w14:textId="77777777" w:rsidR="00631DFD" w:rsidRPr="00F4129E" w:rsidRDefault="00631DFD" w:rsidP="00D03502">
            <w:pPr>
              <w:pStyle w:val="wiTableUndefined"/>
              <w:spacing w:before="20" w:after="20"/>
            </w:pPr>
            <w:r w:rsidRPr="00F4129E">
              <w:t>LOWER</w:t>
            </w:r>
          </w:p>
        </w:tc>
        <w:tc>
          <w:tcPr>
            <w:tcW w:w="2159" w:type="dxa"/>
            <w:tcBorders>
              <w:bottom w:val="nil"/>
            </w:tcBorders>
            <w:vAlign w:val="center"/>
          </w:tcPr>
          <w:p w14:paraId="3C4B0F31" w14:textId="77777777" w:rsidR="00631DFD" w:rsidRPr="00F4129E" w:rsidRDefault="00631DFD" w:rsidP="00D03502">
            <w:pPr>
              <w:pStyle w:val="wiTableUndefined"/>
              <w:spacing w:before="20" w:after="20"/>
            </w:pPr>
            <w:r w:rsidRPr="00F4129E">
              <w:t>93.0</w:t>
            </w:r>
            <w:r w:rsidRPr="00F4129E">
              <w:rPr>
                <w:i/>
                <w:vertAlign w:val="superscript"/>
              </w:rPr>
              <w:t>[3] [5]</w:t>
            </w:r>
          </w:p>
        </w:tc>
        <w:tc>
          <w:tcPr>
            <w:tcW w:w="2158" w:type="dxa"/>
            <w:tcBorders>
              <w:bottom w:val="nil"/>
            </w:tcBorders>
            <w:vAlign w:val="center"/>
          </w:tcPr>
          <w:p w14:paraId="2692A3AB" w14:textId="77777777" w:rsidR="00631DFD" w:rsidRPr="00F4129E" w:rsidRDefault="00631DFD" w:rsidP="00D03502">
            <w:pPr>
              <w:pStyle w:val="wiTableUndefined"/>
              <w:spacing w:before="20" w:after="20"/>
            </w:pPr>
            <w:r w:rsidRPr="00F4129E">
              <w:t>93.0</w:t>
            </w:r>
            <w:r w:rsidRPr="00F4129E">
              <w:rPr>
                <w:i/>
                <w:vertAlign w:val="superscript"/>
              </w:rPr>
              <w:t>[4] [5]</w:t>
            </w:r>
          </w:p>
        </w:tc>
        <w:tc>
          <w:tcPr>
            <w:tcW w:w="1817" w:type="dxa"/>
            <w:tcBorders>
              <w:bottom w:val="nil"/>
            </w:tcBorders>
            <w:vAlign w:val="center"/>
          </w:tcPr>
          <w:p w14:paraId="629D9AEE" w14:textId="77777777" w:rsidR="00631DFD" w:rsidRPr="00F4129E" w:rsidRDefault="00631DFD" w:rsidP="00D03502">
            <w:pPr>
              <w:pStyle w:val="wiTableUndefined"/>
              <w:spacing w:before="20" w:after="20"/>
            </w:pPr>
            <w:r w:rsidRPr="00F4129E">
              <w:t>___</w:t>
            </w:r>
          </w:p>
        </w:tc>
      </w:tr>
      <w:tr w:rsidR="00631DFD" w:rsidRPr="00F4129E" w14:paraId="477B0431" w14:textId="77777777" w:rsidTr="00D03502">
        <w:trPr>
          <w:cantSplit/>
        </w:trPr>
        <w:tc>
          <w:tcPr>
            <w:tcW w:w="1790" w:type="dxa"/>
            <w:vMerge/>
            <w:vAlign w:val="center"/>
          </w:tcPr>
          <w:p w14:paraId="5FF6802A" w14:textId="77777777" w:rsidR="00631DFD" w:rsidRPr="00F4129E" w:rsidRDefault="00631DFD" w:rsidP="00D03502">
            <w:pPr>
              <w:pStyle w:val="wiTableUndefined"/>
              <w:spacing w:before="20" w:after="20"/>
            </w:pPr>
          </w:p>
        </w:tc>
        <w:tc>
          <w:tcPr>
            <w:tcW w:w="1436" w:type="dxa"/>
            <w:tcBorders>
              <w:top w:val="nil"/>
            </w:tcBorders>
            <w:vAlign w:val="center"/>
          </w:tcPr>
          <w:p w14:paraId="0E9FC4CB" w14:textId="77777777" w:rsidR="00631DFD" w:rsidRPr="00F4129E" w:rsidRDefault="00631DFD" w:rsidP="00D03502">
            <w:pPr>
              <w:pStyle w:val="wiTableUndefined"/>
              <w:spacing w:before="20" w:after="20"/>
            </w:pPr>
            <w:r w:rsidRPr="00F4129E">
              <w:t>UPPER</w:t>
            </w:r>
          </w:p>
        </w:tc>
        <w:tc>
          <w:tcPr>
            <w:tcW w:w="2159" w:type="dxa"/>
            <w:tcBorders>
              <w:top w:val="nil"/>
            </w:tcBorders>
            <w:vAlign w:val="center"/>
          </w:tcPr>
          <w:p w14:paraId="224D6B0D" w14:textId="77777777" w:rsidR="00631DFD" w:rsidRPr="00F4129E" w:rsidRDefault="00631DFD" w:rsidP="00D03502">
            <w:pPr>
              <w:pStyle w:val="wiTableUndefined"/>
              <w:spacing w:before="20" w:after="20"/>
            </w:pPr>
            <w:r w:rsidRPr="00F4129E">
              <w:t>93.0</w:t>
            </w:r>
          </w:p>
        </w:tc>
        <w:tc>
          <w:tcPr>
            <w:tcW w:w="2158" w:type="dxa"/>
            <w:tcBorders>
              <w:top w:val="nil"/>
            </w:tcBorders>
            <w:vAlign w:val="center"/>
          </w:tcPr>
          <w:p w14:paraId="0F109A42" w14:textId="77777777" w:rsidR="00631DFD" w:rsidRPr="00F4129E" w:rsidRDefault="00631DFD" w:rsidP="00D03502">
            <w:pPr>
              <w:pStyle w:val="wiTableUndefined"/>
              <w:spacing w:before="20" w:after="20"/>
            </w:pPr>
            <w:r w:rsidRPr="00F4129E">
              <w:t>93.0</w:t>
            </w:r>
          </w:p>
        </w:tc>
        <w:tc>
          <w:tcPr>
            <w:tcW w:w="1817" w:type="dxa"/>
            <w:tcBorders>
              <w:top w:val="nil"/>
            </w:tcBorders>
            <w:vAlign w:val="center"/>
          </w:tcPr>
          <w:p w14:paraId="0AFA82DD" w14:textId="77777777" w:rsidR="00631DFD" w:rsidRPr="00F4129E" w:rsidRDefault="00631DFD" w:rsidP="00D03502">
            <w:pPr>
              <w:pStyle w:val="wiTableUndefined"/>
              <w:spacing w:before="20" w:after="20"/>
            </w:pPr>
            <w:r w:rsidRPr="00F4129E">
              <w:t>93.0</w:t>
            </w:r>
          </w:p>
        </w:tc>
      </w:tr>
      <w:tr w:rsidR="00631DFD" w:rsidRPr="00F4129E" w14:paraId="1184CEB2" w14:textId="77777777" w:rsidTr="00D03502">
        <w:trPr>
          <w:cantSplit/>
        </w:trPr>
        <w:tc>
          <w:tcPr>
            <w:tcW w:w="1790" w:type="dxa"/>
            <w:vMerge w:val="restart"/>
            <w:vAlign w:val="center"/>
          </w:tcPr>
          <w:p w14:paraId="555CB693" w14:textId="77777777" w:rsidR="00631DFD" w:rsidRPr="00F4129E" w:rsidRDefault="00631DFD" w:rsidP="00D03502">
            <w:pPr>
              <w:pStyle w:val="wiTableUndefined"/>
              <w:spacing w:before="20" w:after="20"/>
            </w:pPr>
            <w:r w:rsidRPr="00F4129E">
              <w:t>SHOULDERS &amp; APPURTENANCES</w:t>
            </w:r>
            <w:r w:rsidRPr="00F4129E">
              <w:rPr>
                <w:i/>
                <w:vertAlign w:val="superscript"/>
              </w:rPr>
              <w:t xml:space="preserve"> </w:t>
            </w:r>
          </w:p>
        </w:tc>
        <w:tc>
          <w:tcPr>
            <w:tcW w:w="1436" w:type="dxa"/>
            <w:tcBorders>
              <w:bottom w:val="nil"/>
            </w:tcBorders>
            <w:vAlign w:val="center"/>
          </w:tcPr>
          <w:p w14:paraId="60D4F905" w14:textId="77777777" w:rsidR="00631DFD" w:rsidRPr="00F4129E" w:rsidRDefault="00631DFD" w:rsidP="00D03502">
            <w:pPr>
              <w:pStyle w:val="wiTableUndefined"/>
              <w:spacing w:before="20" w:after="20"/>
            </w:pPr>
            <w:r w:rsidRPr="00F4129E">
              <w:t>LOWER</w:t>
            </w:r>
          </w:p>
        </w:tc>
        <w:tc>
          <w:tcPr>
            <w:tcW w:w="2159" w:type="dxa"/>
            <w:tcBorders>
              <w:bottom w:val="nil"/>
            </w:tcBorders>
            <w:vAlign w:val="center"/>
          </w:tcPr>
          <w:p w14:paraId="656229ED" w14:textId="77777777" w:rsidR="00631DFD" w:rsidRPr="00F4129E" w:rsidRDefault="00631DFD" w:rsidP="00D03502">
            <w:pPr>
              <w:pStyle w:val="wiTableUndefined"/>
              <w:spacing w:before="20" w:after="20"/>
            </w:pPr>
            <w:r w:rsidRPr="00F4129E">
              <w:t>91.0</w:t>
            </w:r>
            <w:r w:rsidRPr="00F4129E">
              <w:rPr>
                <w:i/>
                <w:vertAlign w:val="superscript"/>
              </w:rPr>
              <w:t>[5]</w:t>
            </w:r>
          </w:p>
        </w:tc>
        <w:tc>
          <w:tcPr>
            <w:tcW w:w="2158" w:type="dxa"/>
            <w:tcBorders>
              <w:bottom w:val="nil"/>
            </w:tcBorders>
            <w:vAlign w:val="center"/>
          </w:tcPr>
          <w:p w14:paraId="01EF65A2" w14:textId="77777777" w:rsidR="00631DFD" w:rsidRPr="00F4129E" w:rsidRDefault="00631DFD" w:rsidP="00D03502">
            <w:pPr>
              <w:pStyle w:val="wiTableUndefined"/>
              <w:spacing w:before="20" w:after="20"/>
            </w:pPr>
            <w:r w:rsidRPr="00F4129E">
              <w:t>91.0</w:t>
            </w:r>
            <w:r w:rsidRPr="00F4129E">
              <w:rPr>
                <w:i/>
                <w:vertAlign w:val="superscript"/>
              </w:rPr>
              <w:t>[5]</w:t>
            </w:r>
          </w:p>
        </w:tc>
        <w:tc>
          <w:tcPr>
            <w:tcW w:w="1817" w:type="dxa"/>
            <w:tcBorders>
              <w:bottom w:val="nil"/>
            </w:tcBorders>
            <w:vAlign w:val="center"/>
          </w:tcPr>
          <w:p w14:paraId="581AA6FB" w14:textId="77777777" w:rsidR="00631DFD" w:rsidRPr="00F4129E" w:rsidRDefault="00631DFD" w:rsidP="00D03502">
            <w:pPr>
              <w:pStyle w:val="wiTableUndefined"/>
              <w:spacing w:before="20" w:after="20"/>
            </w:pPr>
            <w:r w:rsidRPr="00F4129E">
              <w:t>___</w:t>
            </w:r>
          </w:p>
        </w:tc>
      </w:tr>
      <w:tr w:rsidR="00631DFD" w:rsidRPr="00F4129E" w14:paraId="3E1715E8" w14:textId="77777777" w:rsidTr="00D03502">
        <w:trPr>
          <w:cantSplit/>
        </w:trPr>
        <w:tc>
          <w:tcPr>
            <w:tcW w:w="1790" w:type="dxa"/>
            <w:vMerge/>
            <w:vAlign w:val="center"/>
          </w:tcPr>
          <w:p w14:paraId="2EFA2F2C" w14:textId="77777777" w:rsidR="00631DFD" w:rsidRPr="00F4129E" w:rsidRDefault="00631DFD" w:rsidP="00D03502">
            <w:pPr>
              <w:pStyle w:val="wiTableUndefined"/>
              <w:spacing w:before="20" w:after="20"/>
            </w:pPr>
          </w:p>
        </w:tc>
        <w:tc>
          <w:tcPr>
            <w:tcW w:w="1436" w:type="dxa"/>
            <w:tcBorders>
              <w:top w:val="nil"/>
            </w:tcBorders>
            <w:vAlign w:val="center"/>
          </w:tcPr>
          <w:p w14:paraId="4EF080C7" w14:textId="77777777" w:rsidR="00631DFD" w:rsidRPr="00F4129E" w:rsidRDefault="00631DFD" w:rsidP="00D03502">
            <w:pPr>
              <w:pStyle w:val="wiTableUndefined"/>
              <w:spacing w:before="20" w:after="20"/>
            </w:pPr>
            <w:r w:rsidRPr="00F4129E">
              <w:t>UPPER</w:t>
            </w:r>
          </w:p>
        </w:tc>
        <w:tc>
          <w:tcPr>
            <w:tcW w:w="2159" w:type="dxa"/>
            <w:tcBorders>
              <w:top w:val="nil"/>
            </w:tcBorders>
            <w:vAlign w:val="center"/>
          </w:tcPr>
          <w:p w14:paraId="7B892B4E" w14:textId="77777777" w:rsidR="00631DFD" w:rsidRPr="00F4129E" w:rsidRDefault="00631DFD" w:rsidP="00D03502">
            <w:pPr>
              <w:pStyle w:val="wiTableUndefined"/>
              <w:spacing w:before="20" w:after="20"/>
            </w:pPr>
            <w:r w:rsidRPr="00F4129E">
              <w:t>92.0</w:t>
            </w:r>
          </w:p>
        </w:tc>
        <w:tc>
          <w:tcPr>
            <w:tcW w:w="2158" w:type="dxa"/>
            <w:tcBorders>
              <w:top w:val="nil"/>
            </w:tcBorders>
            <w:vAlign w:val="center"/>
          </w:tcPr>
          <w:p w14:paraId="584F4772" w14:textId="77777777" w:rsidR="00631DFD" w:rsidRPr="00F4129E" w:rsidRDefault="00631DFD" w:rsidP="00D03502">
            <w:pPr>
              <w:pStyle w:val="wiTableUndefined"/>
              <w:spacing w:before="20" w:after="20"/>
            </w:pPr>
            <w:r w:rsidRPr="00F4129E">
              <w:t>92.0</w:t>
            </w:r>
          </w:p>
        </w:tc>
        <w:tc>
          <w:tcPr>
            <w:tcW w:w="1817" w:type="dxa"/>
            <w:tcBorders>
              <w:top w:val="nil"/>
            </w:tcBorders>
            <w:vAlign w:val="center"/>
          </w:tcPr>
          <w:p w14:paraId="7474C0D8" w14:textId="77777777" w:rsidR="00631DFD" w:rsidRPr="00F4129E" w:rsidRDefault="00631DFD" w:rsidP="00D03502">
            <w:pPr>
              <w:pStyle w:val="wiTableUndefined"/>
              <w:spacing w:before="20" w:after="20"/>
            </w:pPr>
            <w:r w:rsidRPr="00F4129E">
              <w:t>92.0</w:t>
            </w:r>
          </w:p>
        </w:tc>
      </w:tr>
    </w:tbl>
    <w:p w14:paraId="5DE0A655" w14:textId="77777777" w:rsidR="00052A5F" w:rsidRDefault="00052A5F" w:rsidP="00052A5F">
      <w:pPr>
        <w:pStyle w:val="wiTableBuffer"/>
      </w:pPr>
    </w:p>
    <w:p w14:paraId="16B02D71" w14:textId="1D443CE4" w:rsidR="00631DFD" w:rsidRPr="00F4129E" w:rsidRDefault="00631DFD" w:rsidP="00631DFD">
      <w:pPr>
        <w:pStyle w:val="wiTableFooter"/>
        <w:keepNext/>
      </w:pPr>
      <w:r w:rsidRPr="00F4129E">
        <w:tab/>
      </w:r>
      <w:r w:rsidRPr="00F4129E">
        <w:rPr>
          <w:i/>
          <w:vertAlign w:val="superscript"/>
        </w:rPr>
        <w:t>[1]</w:t>
      </w:r>
      <w:r w:rsidRPr="00F4129E">
        <w:tab/>
        <w:t xml:space="preserve">The table values are for average lot density. If any individual density test result falls more than 3.0 percent below the minimum required target maximum density, the engineer will investigate the acceptability of that material according to </w:t>
      </w:r>
      <w:proofErr w:type="spellStart"/>
      <w:r w:rsidRPr="00F4129E">
        <w:rPr>
          <w:rStyle w:val="wiLink"/>
        </w:rPr>
        <w:t>CMM</w:t>
      </w:r>
      <w:proofErr w:type="spellEnd"/>
      <w:r w:rsidRPr="00F4129E">
        <w:rPr>
          <w:rStyle w:val="wiLink"/>
        </w:rPr>
        <w:t xml:space="preserve"> 815.11</w:t>
      </w:r>
      <w:r w:rsidRPr="00F4129E">
        <w:t>.</w:t>
      </w:r>
    </w:p>
    <w:p w14:paraId="7FCBF873" w14:textId="77777777" w:rsidR="00631DFD" w:rsidRPr="00F4129E" w:rsidRDefault="00631DFD" w:rsidP="00631DFD">
      <w:pPr>
        <w:pStyle w:val="wiTableFooter"/>
        <w:keepNext/>
      </w:pPr>
      <w:r w:rsidRPr="00F4129E">
        <w:tab/>
      </w:r>
      <w:r w:rsidRPr="00F4129E">
        <w:rPr>
          <w:i/>
          <w:vertAlign w:val="superscript"/>
        </w:rPr>
        <w:t>[2]</w:t>
      </w:r>
      <w:r w:rsidRPr="00F4129E">
        <w:tab/>
        <w:t>Includes side roads, crossovers, turn lanes, ramps, parking lanes, bike lanes, and park-and-ride lots as defined by the contract plans.</w:t>
      </w:r>
    </w:p>
    <w:p w14:paraId="4F076104" w14:textId="77777777" w:rsidR="00631DFD" w:rsidRPr="00F4129E" w:rsidRDefault="00631DFD" w:rsidP="00631DFD">
      <w:pPr>
        <w:pStyle w:val="wiTableFooter"/>
        <w:keepNext/>
      </w:pPr>
      <w:r w:rsidRPr="00F4129E">
        <w:tab/>
      </w:r>
      <w:r w:rsidRPr="00F4129E">
        <w:rPr>
          <w:i/>
          <w:vertAlign w:val="superscript"/>
        </w:rPr>
        <w:t>[3]</w:t>
      </w:r>
      <w:r w:rsidRPr="00F4129E">
        <w:tab/>
        <w:t>Minimum reduced by 2.0 percent for a lower layer constructed directly on cold in-place recycle (CIR), crushed aggregate, or recycled base courses.</w:t>
      </w:r>
    </w:p>
    <w:p w14:paraId="6921BF6D" w14:textId="77777777" w:rsidR="00631DFD" w:rsidRPr="00F4129E" w:rsidRDefault="00631DFD" w:rsidP="00631DFD">
      <w:pPr>
        <w:pStyle w:val="wiTableFooter"/>
        <w:keepNext/>
      </w:pPr>
      <w:r w:rsidRPr="00F4129E">
        <w:tab/>
      </w:r>
      <w:r w:rsidRPr="00F4129E">
        <w:rPr>
          <w:i/>
          <w:vertAlign w:val="superscript"/>
        </w:rPr>
        <w:t>[4]</w:t>
      </w:r>
      <w:r w:rsidRPr="00F4129E">
        <w:tab/>
        <w:t>Minimum reduced by 1.0 percent for a lower layer constructed directly on cold in-place recycle (CIR), crushed aggregate or recycled base courses.</w:t>
      </w:r>
    </w:p>
    <w:p w14:paraId="4EB9A4CB" w14:textId="1968D527" w:rsidR="00631DFD" w:rsidRDefault="00631DFD" w:rsidP="00631DFD">
      <w:pPr>
        <w:pStyle w:val="wiTableFooter"/>
        <w:keepNext/>
      </w:pPr>
      <w:r w:rsidRPr="00F4129E">
        <w:tab/>
      </w:r>
      <w:r w:rsidRPr="00F4129E">
        <w:rPr>
          <w:i/>
          <w:iCs/>
          <w:vertAlign w:val="superscript"/>
        </w:rPr>
        <w:t>[5]</w:t>
      </w:r>
      <w:r w:rsidRPr="00F4129E">
        <w:tab/>
        <w:t xml:space="preserve">Minimum reduced by 1.0 percent for a </w:t>
      </w:r>
      <w:proofErr w:type="gramStart"/>
      <w:r w:rsidRPr="00F4129E">
        <w:t>1.25-inch thick</w:t>
      </w:r>
      <w:proofErr w:type="gramEnd"/>
      <w:r w:rsidRPr="00F4129E">
        <w:t xml:space="preserve"> No.</w:t>
      </w:r>
      <w:r w:rsidR="00464C9A">
        <w:t xml:space="preserve"> </w:t>
      </w:r>
      <w:r w:rsidRPr="00F4129E">
        <w:t>5 mix lower layer constructed on a paved or milled surface.</w:t>
      </w:r>
    </w:p>
    <w:p w14:paraId="42F3E4AD" w14:textId="103F3FB2" w:rsidR="00631DFD" w:rsidRDefault="00631DFD" w:rsidP="00631DFD">
      <w:pPr>
        <w:pStyle w:val="wiHeading3"/>
      </w:pPr>
      <w:proofErr w:type="gramStart"/>
      <w:r w:rsidRPr="00F4129E">
        <w:t>460.3.3.2  Pavement</w:t>
      </w:r>
      <w:proofErr w:type="gramEnd"/>
      <w:r w:rsidRPr="00F4129E">
        <w:t xml:space="preserve"> Density Determination</w:t>
      </w:r>
    </w:p>
    <w:p w14:paraId="0005A13F" w14:textId="5D271B11" w:rsidR="00B511E3" w:rsidRDefault="00B511E3" w:rsidP="00B511E3">
      <w:pPr>
        <w:pStyle w:val="wiAnnotation"/>
      </w:pPr>
      <w:proofErr w:type="gramStart"/>
      <w:r>
        <w:t>460.3.3.2  Add</w:t>
      </w:r>
      <w:proofErr w:type="gramEnd"/>
      <w:r>
        <w:t xml:space="preserve"> via ASP</w:t>
      </w:r>
      <w:r w:rsidR="00A74838">
        <w:t>-</w:t>
      </w:r>
      <w:r>
        <w:t xml:space="preserve">6 </w:t>
      </w:r>
      <w:r w:rsidR="00A74838">
        <w:t>with</w:t>
      </w:r>
      <w:r w:rsidRPr="00427A0B">
        <w:t xml:space="preserve"> </w:t>
      </w:r>
      <w:proofErr w:type="spellStart"/>
      <w:r w:rsidR="00427A0B" w:rsidRPr="00427A0B">
        <w:t>Feb</w:t>
      </w:r>
      <w:r w:rsidRPr="00427A0B">
        <w:t>uary</w:t>
      </w:r>
      <w:proofErr w:type="spellEnd"/>
      <w:r w:rsidRPr="00427A0B">
        <w:t xml:space="preserve"> 2024 LET. </w:t>
      </w:r>
      <w:r w:rsidR="00427A0B" w:rsidRPr="00427A0B">
        <w:t xml:space="preserve">Add reference to WisDOT Test Procedure (WTP) H-002. WTP H-002 contains the sublot layouts </w:t>
      </w:r>
      <w:r w:rsidR="00427A0B">
        <w:t>formerly in</w:t>
      </w:r>
      <w:r w:rsidR="00427A0B" w:rsidRPr="00427A0B">
        <w:t xml:space="preserve"> </w:t>
      </w:r>
      <w:proofErr w:type="spellStart"/>
      <w:r w:rsidR="00427A0B" w:rsidRPr="00427A0B">
        <w:t>CMM</w:t>
      </w:r>
      <w:proofErr w:type="spellEnd"/>
      <w:r w:rsidR="00427A0B" w:rsidRPr="00427A0B">
        <w:t xml:space="preserve"> 815. </w:t>
      </w:r>
      <w:r w:rsidR="00A74838">
        <w:t>In a</w:t>
      </w:r>
      <w:r w:rsidR="00427A0B" w:rsidRPr="00427A0B">
        <w:t>ddition, the definition of a lot is now defined in the standard spec</w:t>
      </w:r>
      <w:r w:rsidR="00427A0B">
        <w:t xml:space="preserve">ifications (formerly in </w:t>
      </w:r>
      <w:proofErr w:type="spellStart"/>
      <w:r w:rsidR="00427A0B" w:rsidRPr="00427A0B">
        <w:t>CMM</w:t>
      </w:r>
      <w:proofErr w:type="spellEnd"/>
      <w:r w:rsidR="00427A0B" w:rsidRPr="00427A0B">
        <w:t xml:space="preserve"> 815</w:t>
      </w:r>
      <w:r w:rsidR="00427A0B">
        <w:t>)</w:t>
      </w:r>
      <w:r w:rsidR="00427A0B" w:rsidRPr="00427A0B">
        <w:t>.</w:t>
      </w:r>
    </w:p>
    <w:p w14:paraId="21988E07" w14:textId="62BBD98A" w:rsidR="00631DFD" w:rsidRPr="00F4129E" w:rsidRDefault="00631DFD" w:rsidP="00631DFD">
      <w:pPr>
        <w:pStyle w:val="wiParagraph"/>
      </w:pPr>
      <w:r w:rsidRPr="00F4129E">
        <w:tab/>
      </w:r>
      <w:r w:rsidRPr="00F4129E">
        <w:rPr>
          <w:rStyle w:val="wiParagraphNumber"/>
        </w:rPr>
        <w:t>(1)</w:t>
      </w:r>
      <w:r w:rsidRPr="00F4129E">
        <w:tab/>
        <w:t>The engineer will determine the target maximum density using department procedures described in</w:t>
      </w:r>
      <w:r w:rsidR="0054468F" w:rsidRPr="000E515B">
        <w:t xml:space="preserve"> </w:t>
      </w:r>
      <w:r w:rsidR="0054468F" w:rsidRPr="002664E9">
        <w:rPr>
          <w:rStyle w:val="wiLink"/>
        </w:rPr>
        <w:t>WTM T355</w:t>
      </w:r>
      <w:r w:rsidR="0054468F" w:rsidRPr="000E515B">
        <w:t xml:space="preserve">. </w:t>
      </w:r>
      <w:r w:rsidRPr="000E515B">
        <w:t>The e</w:t>
      </w:r>
      <w:r w:rsidRPr="00F4129E">
        <w:t>ngineer will determine density</w:t>
      </w:r>
      <w:r w:rsidR="00B511E3">
        <w:t xml:space="preserve"> </w:t>
      </w:r>
      <w:r w:rsidR="00B511E3" w:rsidRPr="00B511E3">
        <w:rPr>
          <w:highlight w:val="green"/>
        </w:rPr>
        <w:t xml:space="preserve">according to </w:t>
      </w:r>
      <w:proofErr w:type="spellStart"/>
      <w:r w:rsidR="00B511E3" w:rsidRPr="00B511E3">
        <w:rPr>
          <w:rStyle w:val="wiLink"/>
          <w:highlight w:val="green"/>
        </w:rPr>
        <w:t>CMM</w:t>
      </w:r>
      <w:proofErr w:type="spellEnd"/>
      <w:r w:rsidR="00B511E3" w:rsidRPr="00B511E3">
        <w:rPr>
          <w:rStyle w:val="wiLink"/>
          <w:highlight w:val="green"/>
        </w:rPr>
        <w:t xml:space="preserve"> 815</w:t>
      </w:r>
      <w:r w:rsidR="00B511E3" w:rsidRPr="00B511E3">
        <w:rPr>
          <w:highlight w:val="green"/>
        </w:rPr>
        <w:t xml:space="preserve"> and </w:t>
      </w:r>
      <w:r w:rsidR="00B511E3" w:rsidRPr="00B511E3">
        <w:rPr>
          <w:rStyle w:val="wiLink"/>
          <w:highlight w:val="green"/>
        </w:rPr>
        <w:t>WTM T355</w:t>
      </w:r>
      <w:r w:rsidRPr="00F4129E">
        <w:t xml:space="preserve"> as soon as practicable after compaction and before placement of subsequent layers or before opening to traffic.</w:t>
      </w:r>
    </w:p>
    <w:p w14:paraId="748D5976" w14:textId="77777777" w:rsidR="00631DFD" w:rsidRPr="00B511E3" w:rsidRDefault="00631DFD" w:rsidP="00631DFD">
      <w:pPr>
        <w:pStyle w:val="wiParagraph"/>
        <w:rPr>
          <w:rStyle w:val="wiLink"/>
        </w:rPr>
      </w:pPr>
      <w:r w:rsidRPr="00F4129E">
        <w:tab/>
      </w:r>
      <w:r w:rsidRPr="00F4129E">
        <w:rPr>
          <w:rStyle w:val="wiParagraphNumber"/>
        </w:rPr>
        <w:t>(2)</w:t>
      </w:r>
      <w:r w:rsidRPr="00F4129E">
        <w:tab/>
        <w:t xml:space="preserve">Do not re-roll </w:t>
      </w:r>
      <w:proofErr w:type="gramStart"/>
      <w:r w:rsidRPr="00F4129E">
        <w:t>compacted</w:t>
      </w:r>
      <w:proofErr w:type="gramEnd"/>
      <w:r w:rsidRPr="00F4129E">
        <w:t xml:space="preserve"> mixtures with deficient density test results. Do not operate continuously below the specified minimum density. Stop production, identify the source of the problem, and make corrections to produce work meeting the specification requirements.</w:t>
      </w:r>
    </w:p>
    <w:p w14:paraId="6DAE0989" w14:textId="10854089" w:rsidR="00631DFD" w:rsidRPr="00F4129E" w:rsidRDefault="00631DFD" w:rsidP="00631DFD">
      <w:pPr>
        <w:pStyle w:val="wiParagraph"/>
      </w:pPr>
      <w:r w:rsidRPr="00F4129E">
        <w:tab/>
      </w:r>
      <w:r w:rsidRPr="00F4129E">
        <w:rPr>
          <w:rStyle w:val="wiParagraphNumber"/>
        </w:rPr>
        <w:t>(3)</w:t>
      </w:r>
      <w:r w:rsidRPr="00F4129E">
        <w:tab/>
        <w:t>A lot is defined</w:t>
      </w:r>
      <w:r w:rsidR="00B511E3">
        <w:t xml:space="preserve"> </w:t>
      </w:r>
      <w:r w:rsidR="00B511E3" w:rsidRPr="00B511E3">
        <w:rPr>
          <w:highlight w:val="green"/>
        </w:rPr>
        <w:t>as one day’s production for each sublot type or one production shift if running 24 hours per day</w:t>
      </w:r>
      <w:r w:rsidR="00B511E3">
        <w:t xml:space="preserve"> </w:t>
      </w:r>
      <w:r w:rsidRPr="00F4129E">
        <w:t>and placed within a single layer for each location and target maximum density category indicated in table 460-3. The lot density is the average of</w:t>
      </w:r>
      <w:r w:rsidR="00B511E3">
        <w:t xml:space="preserve"> </w:t>
      </w:r>
      <w:r w:rsidR="00B511E3" w:rsidRPr="00B511E3">
        <w:rPr>
          <w:highlight w:val="green"/>
        </w:rPr>
        <w:t>the tests</w:t>
      </w:r>
      <w:r w:rsidRPr="00F4129E">
        <w:t xml:space="preserve"> taken for that lot. The department determines the number of tests per lot according to </w:t>
      </w:r>
      <w:r w:rsidR="00B511E3" w:rsidRPr="00B511E3">
        <w:rPr>
          <w:rStyle w:val="wiLink"/>
          <w:highlight w:val="green"/>
        </w:rPr>
        <w:t>WTP H-002</w:t>
      </w:r>
      <w:r w:rsidRPr="00B511E3">
        <w:rPr>
          <w:highlight w:val="green"/>
        </w:rPr>
        <w:t>.</w:t>
      </w:r>
    </w:p>
    <w:p w14:paraId="48B0CEC5" w14:textId="77777777" w:rsidR="00631DFD" w:rsidRPr="00F4129E" w:rsidRDefault="00631DFD" w:rsidP="00631DFD">
      <w:pPr>
        <w:pStyle w:val="wiParagraph"/>
      </w:pPr>
      <w:r w:rsidRPr="00F4129E">
        <w:tab/>
      </w:r>
      <w:r w:rsidRPr="00F4129E">
        <w:rPr>
          <w:rStyle w:val="wiParagraphNumber"/>
        </w:rPr>
        <w:t>(4)</w:t>
      </w:r>
      <w:r w:rsidRPr="00F4129E">
        <w:tab/>
        <w:t xml:space="preserve">An </w:t>
      </w:r>
      <w:proofErr w:type="spellStart"/>
      <w:r w:rsidRPr="00F4129E">
        <w:t>HTCP</w:t>
      </w:r>
      <w:proofErr w:type="spellEnd"/>
      <w:r w:rsidRPr="00F4129E">
        <w:t>-certified Nuclear Density Technician I (</w:t>
      </w:r>
      <w:proofErr w:type="spellStart"/>
      <w:r w:rsidRPr="00F4129E">
        <w:t>NUCDENSITYTEC</w:t>
      </w:r>
      <w:proofErr w:type="spellEnd"/>
      <w:r w:rsidRPr="00F4129E">
        <w:t xml:space="preserve">-I) or a nuclear density ACT working under a </w:t>
      </w:r>
      <w:proofErr w:type="spellStart"/>
      <w:r w:rsidRPr="00F4129E">
        <w:t>NUCDENSITYTEC</w:t>
      </w:r>
      <w:proofErr w:type="spellEnd"/>
      <w:r w:rsidRPr="00F4129E">
        <w:t xml:space="preserve">-I technician, will locate samples and perform the testing. A </w:t>
      </w:r>
      <w:proofErr w:type="spellStart"/>
      <w:r w:rsidRPr="00F4129E">
        <w:t>NUCDENSITYTEC</w:t>
      </w:r>
      <w:proofErr w:type="spellEnd"/>
      <w:r w:rsidRPr="00F4129E">
        <w:t xml:space="preserve">-I technician will coordinate and take responsibility for the work an ACT performs. No more than one ACT can work under a single </w:t>
      </w:r>
      <w:proofErr w:type="spellStart"/>
      <w:r w:rsidRPr="00F4129E">
        <w:t>NUCDENSITYTEC</w:t>
      </w:r>
      <w:proofErr w:type="spellEnd"/>
      <w:r w:rsidRPr="00F4129E">
        <w:t xml:space="preserve">-I technician. The responsible </w:t>
      </w:r>
      <w:proofErr w:type="spellStart"/>
      <w:r w:rsidRPr="00F4129E">
        <w:t>NUCDENSITYTEC</w:t>
      </w:r>
      <w:proofErr w:type="spellEnd"/>
      <w:r w:rsidRPr="00F4129E">
        <w:t>-I technician will ensure that sample location and testing is performed correctly, analyze test results, and provide density results to the contractor weekly.</w:t>
      </w:r>
    </w:p>
    <w:p w14:paraId="41F93B1A" w14:textId="77777777" w:rsidR="00631DFD" w:rsidRPr="00F4129E" w:rsidRDefault="00631DFD" w:rsidP="00631DFD">
      <w:pPr>
        <w:pStyle w:val="wiHeading3"/>
      </w:pPr>
      <w:proofErr w:type="gramStart"/>
      <w:r w:rsidRPr="00F4129E">
        <w:t>460.3.3.3  Waiving</w:t>
      </w:r>
      <w:proofErr w:type="gramEnd"/>
      <w:r w:rsidRPr="00F4129E">
        <w:t xml:space="preserve"> Density Testing</w:t>
      </w:r>
    </w:p>
    <w:p w14:paraId="115D1EA1" w14:textId="77777777" w:rsidR="00631DFD" w:rsidRPr="00F4129E" w:rsidRDefault="00631DFD" w:rsidP="00631DFD">
      <w:pPr>
        <w:pStyle w:val="wiParagraph"/>
      </w:pPr>
      <w:r w:rsidRPr="00F4129E">
        <w:tab/>
      </w:r>
      <w:r w:rsidRPr="00F4129E">
        <w:rPr>
          <w:rStyle w:val="wiParagraphNumber"/>
        </w:rPr>
        <w:t>(1)</w:t>
      </w:r>
      <w:r w:rsidRPr="00F4129E">
        <w:tab/>
        <w:t>The engineer may waive density testing for one or more of the following reasons:</w:t>
      </w:r>
    </w:p>
    <w:p w14:paraId="3C6CB339" w14:textId="77777777" w:rsidR="00631DFD" w:rsidRPr="00F4129E" w:rsidRDefault="00631DFD" w:rsidP="00631DFD">
      <w:pPr>
        <w:pStyle w:val="wiNumList1"/>
      </w:pPr>
      <w:r w:rsidRPr="00F4129E">
        <w:tab/>
        <w:t>1.</w:t>
      </w:r>
      <w:r w:rsidRPr="00F4129E">
        <w:tab/>
        <w:t>It is impracticable to determine density by the lot system.</w:t>
      </w:r>
    </w:p>
    <w:p w14:paraId="3124560B" w14:textId="77777777" w:rsidR="00631DFD" w:rsidRPr="00F4129E" w:rsidRDefault="00631DFD" w:rsidP="00631DFD">
      <w:pPr>
        <w:pStyle w:val="wiNumList1"/>
      </w:pPr>
      <w:r w:rsidRPr="00F4129E">
        <w:tab/>
        <w:t>2.</w:t>
      </w:r>
      <w:r w:rsidRPr="00F4129E">
        <w:tab/>
        <w:t>The contract contains less than 750 tons of a given mixture type placed within the same layer and target maximum density category.</w:t>
      </w:r>
    </w:p>
    <w:p w14:paraId="5A05B0A5" w14:textId="77777777" w:rsidR="00631DFD" w:rsidRPr="00F4129E" w:rsidRDefault="00631DFD" w:rsidP="00631DFD">
      <w:pPr>
        <w:pStyle w:val="wiParagraph"/>
      </w:pPr>
      <w:r w:rsidRPr="00F4129E">
        <w:tab/>
      </w:r>
      <w:r w:rsidRPr="00F4129E">
        <w:rPr>
          <w:rStyle w:val="wiParagraphNumber"/>
        </w:rPr>
        <w:t>(2)</w:t>
      </w:r>
      <w:r w:rsidRPr="00F4129E">
        <w:tab/>
        <w:t xml:space="preserve">If the department waives density testing notify the contractor before paving. The department will accept the mixture by the ordinary compaction procedure as specified in </w:t>
      </w:r>
      <w:r w:rsidRPr="00F4129E">
        <w:rPr>
          <w:rStyle w:val="wiLink"/>
        </w:rPr>
        <w:t>450.3.2.6.2</w:t>
      </w:r>
      <w:r w:rsidRPr="00F4129E">
        <w:t>.</w:t>
      </w:r>
    </w:p>
    <w:p w14:paraId="2756A32D" w14:textId="77777777" w:rsidR="00631DFD" w:rsidRPr="00F4129E" w:rsidRDefault="00631DFD" w:rsidP="00631DFD">
      <w:pPr>
        <w:pStyle w:val="wiHeading1"/>
      </w:pPr>
      <w:proofErr w:type="gramStart"/>
      <w:r w:rsidRPr="00F4129E">
        <w:t>460.4  Measurement</w:t>
      </w:r>
      <w:proofErr w:type="gramEnd"/>
    </w:p>
    <w:p w14:paraId="41BECB24" w14:textId="77777777" w:rsidR="00631DFD" w:rsidRPr="00F4129E" w:rsidRDefault="00631DFD" w:rsidP="00631DFD">
      <w:pPr>
        <w:pStyle w:val="wiParagraph"/>
      </w:pPr>
      <w:r w:rsidRPr="00F4129E">
        <w:tab/>
      </w:r>
      <w:r w:rsidRPr="00F4129E">
        <w:rPr>
          <w:rStyle w:val="wiParagraphNumber"/>
        </w:rPr>
        <w:t>(1)</w:t>
      </w:r>
      <w:r w:rsidRPr="00F4129E">
        <w:tab/>
        <w:t xml:space="preserve">The department will measure the </w:t>
      </w:r>
      <w:proofErr w:type="spellStart"/>
      <w:r w:rsidRPr="00F4129E">
        <w:t>HMA</w:t>
      </w:r>
      <w:proofErr w:type="spellEnd"/>
      <w:r w:rsidRPr="00F4129E">
        <w:t xml:space="preserve"> Pavement bid items acceptably completed by the ton as specified in </w:t>
      </w:r>
      <w:r w:rsidRPr="00F4129E">
        <w:rPr>
          <w:rStyle w:val="wiLink"/>
        </w:rPr>
        <w:t>450.4</w:t>
      </w:r>
      <w:r w:rsidRPr="00F4129E">
        <w:t>.</w:t>
      </w:r>
    </w:p>
    <w:p w14:paraId="4F83FD18" w14:textId="77777777" w:rsidR="00631DFD" w:rsidRPr="00F4129E" w:rsidRDefault="00631DFD" w:rsidP="00631DFD">
      <w:pPr>
        <w:pStyle w:val="wiHeading1"/>
      </w:pPr>
      <w:proofErr w:type="gramStart"/>
      <w:r w:rsidRPr="00F4129E">
        <w:lastRenderedPageBreak/>
        <w:t>460.5  Payment</w:t>
      </w:r>
      <w:proofErr w:type="gramEnd"/>
    </w:p>
    <w:p w14:paraId="15915378" w14:textId="77777777" w:rsidR="00631DFD" w:rsidRPr="00F4129E" w:rsidRDefault="00631DFD" w:rsidP="00631DFD">
      <w:pPr>
        <w:pStyle w:val="wiHeading2"/>
      </w:pPr>
      <w:proofErr w:type="gramStart"/>
      <w:r w:rsidRPr="00F4129E">
        <w:t>460.5.1  General</w:t>
      </w:r>
      <w:proofErr w:type="gramEnd"/>
    </w:p>
    <w:p w14:paraId="033BDC98" w14:textId="77777777" w:rsidR="00631DFD" w:rsidRPr="00F4129E" w:rsidRDefault="00631DFD" w:rsidP="00631DFD">
      <w:pPr>
        <w:pStyle w:val="wiParagraph"/>
      </w:pPr>
      <w:r w:rsidRPr="00F4129E">
        <w:tab/>
      </w:r>
      <w:r w:rsidRPr="00F4129E">
        <w:rPr>
          <w:rStyle w:val="wiParagraphNumber"/>
        </w:rPr>
        <w:t>(1)</w:t>
      </w:r>
      <w:r w:rsidRPr="00F4129E">
        <w:tab/>
        <w:t>The department will pay for measured quantities at the contract unit price under the following bid items:</w:t>
      </w:r>
    </w:p>
    <w:p w14:paraId="2A8A56F6" w14:textId="77777777" w:rsidR="00631DFD" w:rsidRPr="00F4129E" w:rsidRDefault="00631DFD" w:rsidP="00631DFD">
      <w:pPr>
        <w:pStyle w:val="wiBidItemHeader"/>
      </w:pPr>
      <w:r w:rsidRPr="00F4129E">
        <w:t>ITEM NUMBER</w:t>
      </w:r>
      <w:r w:rsidRPr="00F4129E">
        <w:tab/>
        <w:t>DESCRIPTION</w:t>
      </w:r>
      <w:r w:rsidRPr="00F4129E">
        <w:tab/>
        <w:t>UNIT</w:t>
      </w:r>
    </w:p>
    <w:p w14:paraId="1836E780" w14:textId="77777777" w:rsidR="00631DFD" w:rsidRPr="00F4129E" w:rsidRDefault="00631DFD" w:rsidP="00631DFD">
      <w:pPr>
        <w:pStyle w:val="wiBidItem"/>
      </w:pPr>
      <w:r w:rsidRPr="00F4129E">
        <w:t>460.5000 - 5999</w:t>
      </w:r>
      <w:r w:rsidRPr="00F4129E">
        <w:tab/>
      </w:r>
      <w:proofErr w:type="spellStart"/>
      <w:r w:rsidRPr="00F4129E">
        <w:t>HMA</w:t>
      </w:r>
      <w:proofErr w:type="spellEnd"/>
      <w:r w:rsidRPr="00F4129E">
        <w:t xml:space="preserve"> Pavement (gradation) LT (binder)(designation)</w:t>
      </w:r>
      <w:r w:rsidRPr="00F4129E">
        <w:tab/>
        <w:t>TON</w:t>
      </w:r>
    </w:p>
    <w:p w14:paraId="0D5BD299" w14:textId="77777777" w:rsidR="00631DFD" w:rsidRPr="00F4129E" w:rsidRDefault="00631DFD" w:rsidP="00631DFD">
      <w:pPr>
        <w:pStyle w:val="wiBidItem"/>
      </w:pPr>
      <w:r w:rsidRPr="00F4129E">
        <w:t>460.6000 - 6999</w:t>
      </w:r>
      <w:r w:rsidRPr="00F4129E">
        <w:tab/>
      </w:r>
      <w:proofErr w:type="spellStart"/>
      <w:r w:rsidRPr="00F4129E">
        <w:t>HMA</w:t>
      </w:r>
      <w:proofErr w:type="spellEnd"/>
      <w:r w:rsidRPr="00F4129E">
        <w:t xml:space="preserve"> Pavement (gradation) MT (binder)(designation)</w:t>
      </w:r>
      <w:r w:rsidRPr="00F4129E">
        <w:tab/>
        <w:t>TON</w:t>
      </w:r>
    </w:p>
    <w:p w14:paraId="16AAFACC" w14:textId="77777777" w:rsidR="00631DFD" w:rsidRPr="00F4129E" w:rsidRDefault="00631DFD" w:rsidP="00631DFD">
      <w:pPr>
        <w:pStyle w:val="wiBidItem"/>
      </w:pPr>
      <w:r w:rsidRPr="00F4129E">
        <w:t>460.7000 - 7999</w:t>
      </w:r>
      <w:r w:rsidRPr="00F4129E">
        <w:tab/>
      </w:r>
      <w:proofErr w:type="spellStart"/>
      <w:r w:rsidRPr="00F4129E">
        <w:t>HMA</w:t>
      </w:r>
      <w:proofErr w:type="spellEnd"/>
      <w:r w:rsidRPr="00F4129E">
        <w:t xml:space="preserve"> Pavement (gradation) HT (binder)(designation)</w:t>
      </w:r>
      <w:r w:rsidRPr="00F4129E">
        <w:tab/>
        <w:t>TON</w:t>
      </w:r>
    </w:p>
    <w:p w14:paraId="386414F7" w14:textId="77777777" w:rsidR="00631DFD" w:rsidRPr="00F4129E" w:rsidRDefault="00631DFD" w:rsidP="00631DFD">
      <w:pPr>
        <w:pStyle w:val="wiBidItem"/>
      </w:pPr>
      <w:r w:rsidRPr="00F4129E">
        <w:t>460.8000 - 8999</w:t>
      </w:r>
      <w:r w:rsidRPr="00F4129E">
        <w:tab/>
      </w:r>
      <w:proofErr w:type="spellStart"/>
      <w:r w:rsidRPr="00F4129E">
        <w:t>HMA</w:t>
      </w:r>
      <w:proofErr w:type="spellEnd"/>
      <w:r w:rsidRPr="00F4129E">
        <w:t xml:space="preserve"> Pavement (gradation) </w:t>
      </w:r>
      <w:proofErr w:type="spellStart"/>
      <w:r w:rsidRPr="00F4129E">
        <w:t>SMA</w:t>
      </w:r>
      <w:proofErr w:type="spellEnd"/>
      <w:r w:rsidRPr="00F4129E">
        <w:t xml:space="preserve"> (binder)(designation)</w:t>
      </w:r>
      <w:r w:rsidRPr="00F4129E">
        <w:tab/>
        <w:t>TON</w:t>
      </w:r>
    </w:p>
    <w:p w14:paraId="72850BB0" w14:textId="77777777" w:rsidR="00631DFD" w:rsidRPr="00F4129E" w:rsidRDefault="00631DFD" w:rsidP="00631DFD">
      <w:pPr>
        <w:pStyle w:val="wiBidItem"/>
      </w:pPr>
      <w:r w:rsidRPr="00F4129E">
        <w:t>460.2000</w:t>
      </w:r>
      <w:r w:rsidRPr="00F4129E">
        <w:tab/>
        <w:t xml:space="preserve">Incentive Density </w:t>
      </w:r>
      <w:proofErr w:type="spellStart"/>
      <w:r w:rsidRPr="00F4129E">
        <w:t>HMA</w:t>
      </w:r>
      <w:proofErr w:type="spellEnd"/>
      <w:r w:rsidRPr="00F4129E">
        <w:t xml:space="preserve"> Pavement</w:t>
      </w:r>
      <w:r w:rsidRPr="00F4129E">
        <w:tab/>
        <w:t>DOL</w:t>
      </w:r>
    </w:p>
    <w:p w14:paraId="751E5579" w14:textId="77777777" w:rsidR="00631DFD" w:rsidRPr="00F4129E" w:rsidRDefault="00631DFD" w:rsidP="00631DFD">
      <w:pPr>
        <w:pStyle w:val="wiHeading2"/>
      </w:pPr>
      <w:proofErr w:type="gramStart"/>
      <w:r w:rsidRPr="00F4129E">
        <w:t xml:space="preserve">460.5.2  </w:t>
      </w:r>
      <w:proofErr w:type="spellStart"/>
      <w:r w:rsidRPr="00F4129E">
        <w:t>HMA</w:t>
      </w:r>
      <w:proofErr w:type="spellEnd"/>
      <w:proofErr w:type="gramEnd"/>
      <w:r w:rsidRPr="00F4129E">
        <w:t xml:space="preserve"> Pavement</w:t>
      </w:r>
    </w:p>
    <w:p w14:paraId="27C1EA96" w14:textId="77777777" w:rsidR="00631DFD" w:rsidRPr="00F4129E" w:rsidRDefault="00631DFD" w:rsidP="00631DFD">
      <w:pPr>
        <w:pStyle w:val="wiHeading3"/>
      </w:pPr>
      <w:proofErr w:type="gramStart"/>
      <w:r w:rsidRPr="00F4129E">
        <w:t>460.5.2.1  General</w:t>
      </w:r>
      <w:proofErr w:type="gramEnd"/>
    </w:p>
    <w:p w14:paraId="5551380F" w14:textId="77777777" w:rsidR="00631DFD" w:rsidRPr="00F4129E" w:rsidRDefault="00631DFD" w:rsidP="00631DFD">
      <w:pPr>
        <w:pStyle w:val="wiParagraph"/>
      </w:pPr>
      <w:r w:rsidRPr="00F4129E">
        <w:tab/>
      </w:r>
      <w:r w:rsidRPr="00F4129E">
        <w:rPr>
          <w:rStyle w:val="wiParagraphNumber"/>
        </w:rPr>
        <w:t>(1)</w:t>
      </w:r>
      <w:r w:rsidRPr="00F4129E">
        <w:tab/>
        <w:t xml:space="preserve">The department will pay for the </w:t>
      </w:r>
      <w:proofErr w:type="spellStart"/>
      <w:r w:rsidRPr="00F4129E">
        <w:t>HMA</w:t>
      </w:r>
      <w:proofErr w:type="spellEnd"/>
      <w:r w:rsidRPr="00F4129E">
        <w:t xml:space="preserve"> Pavement bid items at the contract unit price subject to one or more of the following adjustments:</w:t>
      </w:r>
    </w:p>
    <w:p w14:paraId="27E080CD" w14:textId="77777777" w:rsidR="00631DFD" w:rsidRPr="00F4129E" w:rsidRDefault="00631DFD" w:rsidP="00631DFD">
      <w:pPr>
        <w:pStyle w:val="wiNumList1"/>
      </w:pPr>
      <w:r w:rsidRPr="00F4129E">
        <w:tab/>
        <w:t>1.</w:t>
      </w:r>
      <w:r w:rsidRPr="00F4129E">
        <w:tab/>
        <w:t xml:space="preserve">Disincentive for density of </w:t>
      </w:r>
      <w:proofErr w:type="spellStart"/>
      <w:r w:rsidRPr="00F4129E">
        <w:t>HMA</w:t>
      </w:r>
      <w:proofErr w:type="spellEnd"/>
      <w:r w:rsidRPr="00F4129E">
        <w:t xml:space="preserve"> pavement as specified in </w:t>
      </w:r>
      <w:r w:rsidRPr="00F4129E">
        <w:rPr>
          <w:rStyle w:val="wiLink"/>
        </w:rPr>
        <w:t>460.5.2.2</w:t>
      </w:r>
      <w:r w:rsidRPr="00F4129E">
        <w:t>.</w:t>
      </w:r>
    </w:p>
    <w:p w14:paraId="6AB9FAC8" w14:textId="77777777" w:rsidR="00631DFD" w:rsidRPr="00F4129E" w:rsidRDefault="00631DFD" w:rsidP="00631DFD">
      <w:pPr>
        <w:pStyle w:val="wiNumList1"/>
      </w:pPr>
      <w:r w:rsidRPr="00F4129E">
        <w:tab/>
        <w:t>2.</w:t>
      </w:r>
      <w:r w:rsidRPr="00F4129E">
        <w:tab/>
        <w:t xml:space="preserve">Incentive for density of </w:t>
      </w:r>
      <w:proofErr w:type="spellStart"/>
      <w:r w:rsidRPr="00F4129E">
        <w:t>HMA</w:t>
      </w:r>
      <w:proofErr w:type="spellEnd"/>
      <w:r w:rsidRPr="00F4129E">
        <w:t xml:space="preserve"> pavement as specified in </w:t>
      </w:r>
      <w:r w:rsidRPr="00F4129E">
        <w:rPr>
          <w:rStyle w:val="wiLink"/>
        </w:rPr>
        <w:t>460.5.2.3</w:t>
      </w:r>
      <w:r w:rsidRPr="00F4129E">
        <w:t>.</w:t>
      </w:r>
    </w:p>
    <w:p w14:paraId="7BD6C157" w14:textId="77777777" w:rsidR="00631DFD" w:rsidRPr="00F4129E" w:rsidRDefault="00631DFD" w:rsidP="00631DFD">
      <w:pPr>
        <w:pStyle w:val="wiNumList1"/>
      </w:pPr>
      <w:r w:rsidRPr="00F4129E">
        <w:tab/>
        <w:t>3.</w:t>
      </w:r>
      <w:r w:rsidRPr="00F4129E">
        <w:tab/>
        <w:t xml:space="preserve">Reduced payment for smoothness not conforming to </w:t>
      </w:r>
      <w:r w:rsidRPr="00F4129E">
        <w:rPr>
          <w:rStyle w:val="wiLink"/>
        </w:rPr>
        <w:t>450.3.2.9</w:t>
      </w:r>
      <w:r w:rsidRPr="00F4129E">
        <w:t>.</w:t>
      </w:r>
    </w:p>
    <w:p w14:paraId="78C41C04" w14:textId="77777777" w:rsidR="00631DFD" w:rsidRPr="00F4129E" w:rsidRDefault="00631DFD" w:rsidP="00631DFD">
      <w:pPr>
        <w:pStyle w:val="wiNumList1"/>
      </w:pPr>
      <w:r w:rsidRPr="00F4129E">
        <w:tab/>
        <w:t>4.</w:t>
      </w:r>
      <w:r w:rsidRPr="00F4129E">
        <w:tab/>
        <w:t xml:space="preserve">Reduced payment for nonconforming </w:t>
      </w:r>
      <w:proofErr w:type="spellStart"/>
      <w:r w:rsidRPr="00F4129E">
        <w:t>QMP</w:t>
      </w:r>
      <w:proofErr w:type="spellEnd"/>
      <w:r w:rsidRPr="00F4129E">
        <w:t xml:space="preserve"> </w:t>
      </w:r>
      <w:proofErr w:type="spellStart"/>
      <w:r w:rsidRPr="00F4129E">
        <w:t>HMA</w:t>
      </w:r>
      <w:proofErr w:type="spellEnd"/>
      <w:r w:rsidRPr="00F4129E">
        <w:t xml:space="preserve"> mixtures as specified in </w:t>
      </w:r>
      <w:r w:rsidRPr="00F4129E">
        <w:rPr>
          <w:rStyle w:val="wiLink"/>
        </w:rPr>
        <w:t>460.2.8.2.1.7</w:t>
      </w:r>
      <w:r w:rsidRPr="00F4129E">
        <w:t>.</w:t>
      </w:r>
    </w:p>
    <w:p w14:paraId="1673B792" w14:textId="77777777" w:rsidR="00631DFD" w:rsidRPr="00F4129E" w:rsidRDefault="00631DFD" w:rsidP="00631DFD">
      <w:pPr>
        <w:pStyle w:val="wiParagraph"/>
      </w:pPr>
      <w:r w:rsidRPr="00F4129E">
        <w:tab/>
      </w:r>
      <w:r w:rsidRPr="00F4129E">
        <w:rPr>
          <w:rStyle w:val="wiParagraphNumber"/>
        </w:rPr>
        <w:t>(2)</w:t>
      </w:r>
      <w:r w:rsidRPr="00F4129E">
        <w:tab/>
        <w:t xml:space="preserve">Payment for the </w:t>
      </w:r>
      <w:proofErr w:type="spellStart"/>
      <w:r w:rsidRPr="00F4129E">
        <w:t>HMA</w:t>
      </w:r>
      <w:proofErr w:type="spellEnd"/>
      <w:r w:rsidRPr="00F4129E">
        <w:t xml:space="preserve"> Pavement bid items is full compensation for providing </w:t>
      </w:r>
      <w:proofErr w:type="spellStart"/>
      <w:r w:rsidRPr="00F4129E">
        <w:t>HMA</w:t>
      </w:r>
      <w:proofErr w:type="spellEnd"/>
      <w:r w:rsidRPr="00F4129E">
        <w:t xml:space="preserve"> pavement including binder; for mixture design; for preparing the foundation; and for </w:t>
      </w:r>
      <w:proofErr w:type="spellStart"/>
      <w:r w:rsidRPr="00F4129E">
        <w:t>QMP</w:t>
      </w:r>
      <w:proofErr w:type="spellEnd"/>
      <w:r w:rsidRPr="00F4129E">
        <w:t xml:space="preserve"> and aggregate source testing. The department will pay separately for tack coat under the Tack Coat bid item as specified in </w:t>
      </w:r>
      <w:r w:rsidRPr="00F4129E">
        <w:rPr>
          <w:rStyle w:val="wiLink"/>
        </w:rPr>
        <w:t>455.5</w:t>
      </w:r>
      <w:r w:rsidRPr="00F4129E">
        <w:t>.</w:t>
      </w:r>
    </w:p>
    <w:p w14:paraId="70562817" w14:textId="77777777" w:rsidR="00631DFD" w:rsidRPr="00F4129E" w:rsidRDefault="00631DFD" w:rsidP="00631DFD">
      <w:pPr>
        <w:pStyle w:val="wiParagraph"/>
      </w:pPr>
      <w:r w:rsidRPr="00F4129E">
        <w:tab/>
      </w:r>
      <w:r w:rsidRPr="00F4129E">
        <w:rPr>
          <w:rStyle w:val="wiParagraphNumber"/>
        </w:rPr>
        <w:t>(3)</w:t>
      </w:r>
      <w:r w:rsidRPr="00F4129E">
        <w:tab/>
        <w:t>If provided for in the plan quantities, the department will pay for a leveling layer, placed to correct irregularities in an existing paved surface before overlaying, under the pertinent paving bid item. Absent a plan quantity, the department will pay for a leveling layer as extra work.</w:t>
      </w:r>
    </w:p>
    <w:p w14:paraId="344CE235" w14:textId="77777777" w:rsidR="00631DFD" w:rsidRPr="00F4129E" w:rsidRDefault="00631DFD" w:rsidP="00631DFD">
      <w:pPr>
        <w:pStyle w:val="wiParagraph"/>
      </w:pPr>
      <w:r w:rsidRPr="00F4129E">
        <w:tab/>
      </w:r>
      <w:r w:rsidRPr="00F4129E">
        <w:rPr>
          <w:rStyle w:val="wiParagraphNumber"/>
        </w:rPr>
        <w:t>(4)</w:t>
      </w:r>
      <w:r w:rsidRPr="00F4129E">
        <w:tab/>
        <w:t xml:space="preserve">The department will administer pay reduction for nonconforming </w:t>
      </w:r>
      <w:proofErr w:type="spellStart"/>
      <w:r w:rsidRPr="00F4129E">
        <w:t>QMP</w:t>
      </w:r>
      <w:proofErr w:type="spellEnd"/>
      <w:r w:rsidRPr="00F4129E">
        <w:t xml:space="preserve"> mixture under the Nonconforming </w:t>
      </w:r>
      <w:proofErr w:type="spellStart"/>
      <w:r w:rsidRPr="00F4129E">
        <w:t>QMP</w:t>
      </w:r>
      <w:proofErr w:type="spellEnd"/>
      <w:r w:rsidRPr="00F4129E">
        <w:t xml:space="preserve"> </w:t>
      </w:r>
      <w:proofErr w:type="spellStart"/>
      <w:r w:rsidRPr="00F4129E">
        <w:t>HMA</w:t>
      </w:r>
      <w:proofErr w:type="spellEnd"/>
      <w:r w:rsidRPr="00F4129E">
        <w:t xml:space="preserve"> Mixture administrative item. The department will reduce pay based on the contract unit price for the </w:t>
      </w:r>
      <w:proofErr w:type="spellStart"/>
      <w:r w:rsidRPr="00F4129E">
        <w:t>HMA</w:t>
      </w:r>
      <w:proofErr w:type="spellEnd"/>
      <w:r w:rsidRPr="00F4129E">
        <w:t xml:space="preserve"> Pavement bid item.</w:t>
      </w:r>
    </w:p>
    <w:p w14:paraId="048EDBCE" w14:textId="77777777" w:rsidR="00631DFD" w:rsidRPr="00F4129E" w:rsidRDefault="00631DFD" w:rsidP="00631DFD">
      <w:pPr>
        <w:pStyle w:val="wiParagraph"/>
      </w:pPr>
      <w:r w:rsidRPr="00F4129E">
        <w:tab/>
      </w:r>
      <w:r w:rsidRPr="00F4129E">
        <w:rPr>
          <w:rStyle w:val="wiParagraphNumber"/>
        </w:rPr>
        <w:t>(5)</w:t>
      </w:r>
      <w:r w:rsidRPr="00F4129E">
        <w:tab/>
        <w:t xml:space="preserve">The department will reduce pay for nonconforming </w:t>
      </w:r>
      <w:proofErr w:type="spellStart"/>
      <w:r w:rsidRPr="00F4129E">
        <w:t>QMP</w:t>
      </w:r>
      <w:proofErr w:type="spellEnd"/>
      <w:r w:rsidRPr="00F4129E">
        <w:t xml:space="preserve"> </w:t>
      </w:r>
      <w:proofErr w:type="spellStart"/>
      <w:r w:rsidRPr="00F4129E">
        <w:t>HMA</w:t>
      </w:r>
      <w:proofErr w:type="spellEnd"/>
      <w:r w:rsidRPr="00F4129E">
        <w:t xml:space="preserve"> mixtures as specified in </w:t>
      </w:r>
      <w:r w:rsidRPr="00F4129E">
        <w:rPr>
          <w:rStyle w:val="wiLink"/>
        </w:rPr>
        <w:t>460.2.8.2.1.7</w:t>
      </w:r>
      <w:r w:rsidRPr="00F4129E">
        <w:t>, starting from the stop point to the point when the running average of 4 is back inside the warning limits. The engineer will determine the quantity of material subject to pay reduction based on the testing data and an inspection of the completed pavement. The department will reduce pay as follows:</w:t>
      </w:r>
    </w:p>
    <w:p w14:paraId="77932B6D" w14:textId="3B211DB3" w:rsidR="00631DFD" w:rsidRDefault="00631DFD" w:rsidP="00631DFD">
      <w:pPr>
        <w:pStyle w:val="wiTableTitle"/>
        <w:rPr>
          <w:i/>
          <w:vertAlign w:val="superscript"/>
        </w:rPr>
      </w:pPr>
      <w:r w:rsidRPr="00F4129E">
        <w:t xml:space="preserve">PAYMENT FOR </w:t>
      </w:r>
      <w:proofErr w:type="gramStart"/>
      <w:r w:rsidRPr="00F4129E">
        <w:t>MIXTURE</w:t>
      </w:r>
      <w:r w:rsidRPr="00F4129E">
        <w:rPr>
          <w:i/>
          <w:vertAlign w:val="superscript"/>
        </w:rPr>
        <w:t>[</w:t>
      </w:r>
      <w:proofErr w:type="gramEnd"/>
      <w:r w:rsidRPr="00F4129E">
        <w:rPr>
          <w:i/>
          <w:vertAlign w:val="superscript"/>
        </w:rPr>
        <w:t>1] [3] [4]</w:t>
      </w:r>
    </w:p>
    <w:p w14:paraId="007D2F6D" w14:textId="77777777" w:rsidR="00052A5F" w:rsidRPr="00F4129E" w:rsidRDefault="00052A5F" w:rsidP="00052A5F">
      <w:pPr>
        <w:pStyle w:val="wiTableBuffer"/>
      </w:pPr>
    </w:p>
    <w:p w14:paraId="63F5DA46" w14:textId="77777777" w:rsidR="00631DFD" w:rsidRPr="00F4129E" w:rsidRDefault="00631DFD" w:rsidP="00631DFD">
      <w:pPr>
        <w:pStyle w:val="wiTable3Col"/>
        <w:keepNext/>
      </w:pPr>
      <w:r w:rsidRPr="00F4129E">
        <w:tab/>
      </w:r>
      <w:r w:rsidRPr="00F4129E">
        <w:tab/>
      </w:r>
      <w:r w:rsidRPr="00052A5F">
        <w:rPr>
          <w:u w:val="single"/>
        </w:rPr>
        <w:t>PRODUCED WITHIN</w:t>
      </w:r>
      <w:r w:rsidRPr="00F4129E">
        <w:tab/>
      </w:r>
      <w:r w:rsidRPr="00052A5F">
        <w:rPr>
          <w:u w:val="single"/>
        </w:rPr>
        <w:t>PRODUCED OUTSIDE</w:t>
      </w:r>
    </w:p>
    <w:p w14:paraId="69C39C00" w14:textId="77777777" w:rsidR="00631DFD" w:rsidRPr="00F4129E" w:rsidRDefault="00631DFD" w:rsidP="00631DFD">
      <w:pPr>
        <w:pStyle w:val="wiTable3Col"/>
        <w:keepNext/>
      </w:pPr>
      <w:r w:rsidRPr="00F4129E">
        <w:tab/>
      </w:r>
      <w:r w:rsidRPr="00052A5F">
        <w:rPr>
          <w:u w:val="single"/>
        </w:rPr>
        <w:t>ITEM</w:t>
      </w:r>
      <w:r w:rsidRPr="00F4129E">
        <w:tab/>
      </w:r>
      <w:r w:rsidRPr="00052A5F">
        <w:rPr>
          <w:u w:val="single"/>
        </w:rPr>
        <w:t>WARNING BANDS</w:t>
      </w:r>
      <w:r w:rsidRPr="00F4129E">
        <w:tab/>
      </w:r>
      <w:proofErr w:type="spellStart"/>
      <w:r w:rsidRPr="00052A5F">
        <w:rPr>
          <w:u w:val="single"/>
        </w:rPr>
        <w:t>JMF</w:t>
      </w:r>
      <w:proofErr w:type="spellEnd"/>
      <w:r w:rsidRPr="00052A5F">
        <w:rPr>
          <w:u w:val="single"/>
        </w:rPr>
        <w:t xml:space="preserve"> LIMITS</w:t>
      </w:r>
    </w:p>
    <w:p w14:paraId="10448D69" w14:textId="77777777" w:rsidR="00631DFD" w:rsidRPr="00F4129E" w:rsidRDefault="00631DFD" w:rsidP="00631DFD">
      <w:pPr>
        <w:pStyle w:val="wiTable3Col"/>
        <w:keepNext/>
      </w:pPr>
      <w:r w:rsidRPr="00F4129E">
        <w:tab/>
        <w:t>Gradation</w:t>
      </w:r>
      <w:r w:rsidRPr="00F4129E">
        <w:tab/>
        <w:t>90%</w:t>
      </w:r>
      <w:r w:rsidRPr="00F4129E">
        <w:tab/>
        <w:t>75%</w:t>
      </w:r>
    </w:p>
    <w:p w14:paraId="30F1ADB7" w14:textId="77777777" w:rsidR="00631DFD" w:rsidRPr="00F4129E" w:rsidRDefault="00631DFD" w:rsidP="00631DFD">
      <w:pPr>
        <w:pStyle w:val="wiTable3Col"/>
        <w:keepNext/>
      </w:pPr>
      <w:r w:rsidRPr="00F4129E">
        <w:tab/>
        <w:t xml:space="preserve">Asphalt </w:t>
      </w:r>
      <w:proofErr w:type="gramStart"/>
      <w:r w:rsidRPr="00F4129E">
        <w:t>Content</w:t>
      </w:r>
      <w:r w:rsidRPr="00F4129E">
        <w:rPr>
          <w:i/>
          <w:vertAlign w:val="superscript"/>
        </w:rPr>
        <w:t>[</w:t>
      </w:r>
      <w:proofErr w:type="gramEnd"/>
      <w:r w:rsidRPr="00F4129E">
        <w:rPr>
          <w:i/>
          <w:vertAlign w:val="superscript"/>
        </w:rPr>
        <w:t>5]</w:t>
      </w:r>
      <w:r w:rsidRPr="00F4129E">
        <w:tab/>
        <w:t>___</w:t>
      </w:r>
      <w:r w:rsidRPr="00F4129E">
        <w:tab/>
        <w:t>___</w:t>
      </w:r>
    </w:p>
    <w:p w14:paraId="42A224A4" w14:textId="77777777" w:rsidR="00631DFD" w:rsidRPr="00F4129E" w:rsidRDefault="00631DFD" w:rsidP="00631DFD">
      <w:pPr>
        <w:pStyle w:val="wiTable3Col"/>
        <w:keepNext/>
      </w:pPr>
      <w:r w:rsidRPr="00F4129E">
        <w:tab/>
        <w:t>Air Voids</w:t>
      </w:r>
      <w:r w:rsidRPr="00F4129E">
        <w:tab/>
        <w:t>70%</w:t>
      </w:r>
      <w:r w:rsidRPr="00F4129E">
        <w:tab/>
        <w:t>50%</w:t>
      </w:r>
    </w:p>
    <w:p w14:paraId="61647547" w14:textId="77777777" w:rsidR="00631DFD" w:rsidRPr="00F4129E" w:rsidRDefault="00631DFD" w:rsidP="00631DFD">
      <w:pPr>
        <w:pStyle w:val="wiTable3Col"/>
        <w:keepNext/>
      </w:pPr>
      <w:r w:rsidRPr="00F4129E">
        <w:tab/>
        <w:t>VMA</w:t>
      </w:r>
      <w:r w:rsidRPr="00F4129E">
        <w:tab/>
        <w:t>90%</w:t>
      </w:r>
      <w:r w:rsidRPr="00F4129E">
        <w:tab/>
        <w:t>75%</w:t>
      </w:r>
    </w:p>
    <w:p w14:paraId="7FCF51AD" w14:textId="77777777" w:rsidR="00052A5F" w:rsidRDefault="00052A5F" w:rsidP="00052A5F">
      <w:pPr>
        <w:pStyle w:val="wiTableBuffer"/>
      </w:pPr>
    </w:p>
    <w:p w14:paraId="65F40C7E" w14:textId="1D3B1CDF" w:rsidR="00631DFD" w:rsidRPr="00F4129E" w:rsidRDefault="00631DFD" w:rsidP="00631DFD">
      <w:pPr>
        <w:pStyle w:val="wiFootnote"/>
      </w:pPr>
      <w:r w:rsidRPr="00F4129E">
        <w:tab/>
      </w:r>
      <w:r w:rsidRPr="00F4129E">
        <w:rPr>
          <w:i/>
          <w:vertAlign w:val="superscript"/>
        </w:rPr>
        <w:t>[1]</w:t>
      </w:r>
      <w:r w:rsidRPr="00F4129E">
        <w:tab/>
        <w:t xml:space="preserve">For projects or plants where the total production of each mixture design requires less than 4 tests refer to </w:t>
      </w:r>
      <w:proofErr w:type="spellStart"/>
      <w:r w:rsidRPr="00F4129E">
        <w:rPr>
          <w:rStyle w:val="wiLink"/>
        </w:rPr>
        <w:t>CMM</w:t>
      </w:r>
      <w:proofErr w:type="spellEnd"/>
      <w:r w:rsidRPr="00F4129E">
        <w:rPr>
          <w:rStyle w:val="wiLink"/>
        </w:rPr>
        <w:t xml:space="preserve"> 836</w:t>
      </w:r>
      <w:r w:rsidRPr="00F4129E">
        <w:t>.</w:t>
      </w:r>
    </w:p>
    <w:p w14:paraId="5E902699" w14:textId="77777777" w:rsidR="00631DFD" w:rsidRPr="00F4129E" w:rsidRDefault="00631DFD" w:rsidP="00631DFD">
      <w:pPr>
        <w:pStyle w:val="wiFootnote"/>
      </w:pPr>
      <w:r w:rsidRPr="00F4129E">
        <w:tab/>
      </w:r>
      <w:r w:rsidRPr="00F4129E">
        <w:rPr>
          <w:i/>
          <w:vertAlign w:val="superscript"/>
        </w:rPr>
        <w:t>[2]</w:t>
      </w:r>
      <w:r w:rsidRPr="00F4129E">
        <w:tab/>
        <w:t xml:space="preserve">If </w:t>
      </w:r>
      <w:proofErr w:type="spellStart"/>
      <w:r w:rsidRPr="00F4129E">
        <w:t>SMA</w:t>
      </w:r>
      <w:proofErr w:type="spellEnd"/>
      <w:r w:rsidRPr="00F4129E">
        <w:t xml:space="preserve"> material is nonconforming for air voids as defined in </w:t>
      </w:r>
      <w:r w:rsidRPr="00F4129E">
        <w:rPr>
          <w:rStyle w:val="wiLink"/>
        </w:rPr>
        <w:t>460.2.8.2.1.7</w:t>
      </w:r>
      <w:r w:rsidRPr="00F4129E">
        <w:t xml:space="preserve">(7), the department will pay 80% of the contract unit price for the material from the point where an individual test is outside the </w:t>
      </w:r>
      <w:proofErr w:type="spellStart"/>
      <w:r w:rsidRPr="00F4129E">
        <w:t>JMF</w:t>
      </w:r>
      <w:proofErr w:type="spellEnd"/>
      <w:r w:rsidRPr="00F4129E">
        <w:t xml:space="preserve"> limit until another individual QV or QC test is within the </w:t>
      </w:r>
      <w:proofErr w:type="spellStart"/>
      <w:r w:rsidRPr="00F4129E">
        <w:t>JMF</w:t>
      </w:r>
      <w:proofErr w:type="spellEnd"/>
      <w:r w:rsidRPr="00F4129E">
        <w:t xml:space="preserve"> limits.</w:t>
      </w:r>
    </w:p>
    <w:p w14:paraId="5B2599D7" w14:textId="77777777" w:rsidR="00631DFD" w:rsidRPr="00F4129E" w:rsidRDefault="00631DFD" w:rsidP="00631DFD">
      <w:pPr>
        <w:pStyle w:val="wiFootnote"/>
      </w:pPr>
      <w:r w:rsidRPr="00F4129E">
        <w:tab/>
      </w:r>
      <w:r w:rsidRPr="00F4129E">
        <w:rPr>
          <w:i/>
          <w:vertAlign w:val="superscript"/>
        </w:rPr>
        <w:t>[3]</w:t>
      </w:r>
      <w:r w:rsidRPr="00F4129E">
        <w:tab/>
        <w:t xml:space="preserve">Payment is in percent of the contract unit price for the </w:t>
      </w:r>
      <w:proofErr w:type="spellStart"/>
      <w:r w:rsidRPr="00F4129E">
        <w:t>HMA</w:t>
      </w:r>
      <w:proofErr w:type="spellEnd"/>
      <w:r w:rsidRPr="00F4129E">
        <w:t xml:space="preserve"> Pavement bid item. The department will reduce pay based on the nonconforming property with lowest percent pay. If the quantity of material subject to pay adjustment based on the running average of 4 is also subject to pay adjustment resulting from dispute resolution under </w:t>
      </w:r>
      <w:proofErr w:type="gramStart"/>
      <w:r w:rsidRPr="00F4129E">
        <w:rPr>
          <w:rStyle w:val="wiLink"/>
        </w:rPr>
        <w:t>460.2.8.3.1.7</w:t>
      </w:r>
      <w:r w:rsidRPr="00F4129E">
        <w:t>, or</w:t>
      </w:r>
      <w:proofErr w:type="gramEnd"/>
      <w:r w:rsidRPr="00F4129E">
        <w:t xml:space="preserve"> is nonconforming for air voids as defined in </w:t>
      </w:r>
      <w:r w:rsidRPr="00F4129E">
        <w:rPr>
          <w:rStyle w:val="wiLink"/>
        </w:rPr>
        <w:t>460.2.8.2.1.7</w:t>
      </w:r>
      <w:r w:rsidRPr="00F4129E">
        <w:t>(7), the department will apply the single pay adjustment resulting in the lowest percent pay.</w:t>
      </w:r>
    </w:p>
    <w:p w14:paraId="4C8BBA47" w14:textId="77777777" w:rsidR="00631DFD" w:rsidRPr="00F4129E" w:rsidRDefault="00631DFD" w:rsidP="00631DFD">
      <w:pPr>
        <w:pStyle w:val="wiFootnote"/>
      </w:pPr>
      <w:r w:rsidRPr="00F4129E">
        <w:tab/>
      </w:r>
      <w:r w:rsidRPr="00F4129E">
        <w:rPr>
          <w:i/>
          <w:vertAlign w:val="superscript"/>
        </w:rPr>
        <w:t>[4]</w:t>
      </w:r>
      <w:r w:rsidRPr="00F4129E">
        <w:tab/>
        <w:t xml:space="preserve">In addition to any pay adjustment listed in the table above, the department will adjust pay for nonconforming binder under the Nonconforming </w:t>
      </w:r>
      <w:proofErr w:type="spellStart"/>
      <w:r w:rsidRPr="00F4129E">
        <w:t>QMP</w:t>
      </w:r>
      <w:proofErr w:type="spellEnd"/>
      <w:r w:rsidRPr="00F4129E">
        <w:t xml:space="preserve"> Asphaltic Material administrative item. The department will deduct 25 percent of the contract unit price of the </w:t>
      </w:r>
      <w:proofErr w:type="spellStart"/>
      <w:r w:rsidRPr="00F4129E">
        <w:t>HMA</w:t>
      </w:r>
      <w:proofErr w:type="spellEnd"/>
      <w:r w:rsidRPr="00F4129E">
        <w:t xml:space="preserve"> Pavement bid item per ton of pavement placed with nonconforming PG binder the engineer allows to remain in place.</w:t>
      </w:r>
    </w:p>
    <w:p w14:paraId="27760239" w14:textId="36E7A0A5" w:rsidR="00631DFD" w:rsidRDefault="00631DFD" w:rsidP="00631DFD">
      <w:pPr>
        <w:pStyle w:val="wiFootnote"/>
      </w:pPr>
      <w:r w:rsidRPr="00F4129E">
        <w:tab/>
      </w:r>
      <w:r w:rsidRPr="00F4129E">
        <w:rPr>
          <w:i/>
          <w:vertAlign w:val="superscript"/>
        </w:rPr>
        <w:t>[5]</w:t>
      </w:r>
      <w:r w:rsidRPr="00F4129E">
        <w:tab/>
        <w:t xml:space="preserve">The department will not adjust pay based on a running average of 4 asphalt content tests; however, corrective action will be applied to nonconforming material according to </w:t>
      </w:r>
      <w:r w:rsidRPr="00F4129E">
        <w:rPr>
          <w:rStyle w:val="wiLink"/>
        </w:rPr>
        <w:t>460.2.8.2.1.7</w:t>
      </w:r>
      <w:r w:rsidRPr="00F4129E">
        <w:t>.</w:t>
      </w:r>
    </w:p>
    <w:p w14:paraId="6F0A9F3F" w14:textId="77777777" w:rsidR="00052A5F" w:rsidRPr="00F4129E" w:rsidRDefault="00052A5F" w:rsidP="00052A5F">
      <w:pPr>
        <w:pStyle w:val="wiTableBuffer"/>
      </w:pPr>
    </w:p>
    <w:p w14:paraId="754002AB" w14:textId="77777777" w:rsidR="00631DFD" w:rsidRPr="00F4129E" w:rsidRDefault="00631DFD" w:rsidP="00631DFD">
      <w:pPr>
        <w:pStyle w:val="wiParagraph"/>
      </w:pPr>
      <w:r w:rsidRPr="00F4129E">
        <w:tab/>
      </w:r>
      <w:r w:rsidRPr="00F4129E">
        <w:rPr>
          <w:rStyle w:val="wiParagraphNumber"/>
        </w:rPr>
        <w:t>(6)</w:t>
      </w:r>
      <w:r w:rsidRPr="00F4129E">
        <w:tab/>
        <w:t xml:space="preserve">If during a QV dispute resolution </w:t>
      </w:r>
      <w:proofErr w:type="gramStart"/>
      <w:r w:rsidRPr="00F4129E">
        <w:t>investigation</w:t>
      </w:r>
      <w:proofErr w:type="gramEnd"/>
      <w:r w:rsidRPr="00F4129E">
        <w:t xml:space="preserve"> the department discovers unacceptable mixture defined by one or more of the following:</w:t>
      </w:r>
    </w:p>
    <w:p w14:paraId="33B362A4" w14:textId="77777777" w:rsidR="00631DFD" w:rsidRPr="00F4129E" w:rsidRDefault="00631DFD" w:rsidP="00631DFD">
      <w:pPr>
        <w:pStyle w:val="wiBullet1"/>
      </w:pPr>
      <w:r w:rsidRPr="00F4129E">
        <w:t>-</w:t>
      </w:r>
      <w:r w:rsidRPr="00F4129E">
        <w:tab/>
      </w:r>
      <w:proofErr w:type="spellStart"/>
      <w:r w:rsidRPr="00F4129E">
        <w:t>Va</w:t>
      </w:r>
      <w:proofErr w:type="spellEnd"/>
      <w:r w:rsidRPr="00F4129E">
        <w:t xml:space="preserve"> less than 2.5 or greater than 6.5 percent for </w:t>
      </w:r>
      <w:proofErr w:type="spellStart"/>
      <w:r w:rsidRPr="00F4129E">
        <w:t>SMA</w:t>
      </w:r>
      <w:proofErr w:type="spellEnd"/>
      <w:r w:rsidRPr="00F4129E">
        <w:t>, or for other mixes, less than 1.5 or greater than 5.0 percent.</w:t>
      </w:r>
    </w:p>
    <w:p w14:paraId="03DC059F" w14:textId="77777777" w:rsidR="00631DFD" w:rsidRPr="00F4129E" w:rsidRDefault="00631DFD" w:rsidP="00631DFD">
      <w:pPr>
        <w:pStyle w:val="wiBullet1"/>
      </w:pPr>
      <w:r w:rsidRPr="00F4129E">
        <w:t>-</w:t>
      </w:r>
      <w:r w:rsidRPr="00F4129E">
        <w:tab/>
        <w:t>VMA more than 1.0 percent below the minimum or above the maximum specified in table 460-1.</w:t>
      </w:r>
    </w:p>
    <w:p w14:paraId="2AD068A6" w14:textId="77777777" w:rsidR="00631DFD" w:rsidRPr="00F4129E" w:rsidRDefault="00631DFD" w:rsidP="00631DFD">
      <w:pPr>
        <w:pStyle w:val="wiBullet1"/>
      </w:pPr>
      <w:r w:rsidRPr="00F4129E">
        <w:t>-</w:t>
      </w:r>
      <w:r w:rsidRPr="00F4129E">
        <w:tab/>
        <w:t xml:space="preserve">AC more than 0.5 % below the </w:t>
      </w:r>
      <w:proofErr w:type="spellStart"/>
      <w:r w:rsidRPr="00F4129E">
        <w:t>JMF</w:t>
      </w:r>
      <w:proofErr w:type="spellEnd"/>
      <w:r w:rsidRPr="00F4129E">
        <w:t xml:space="preserve"> target.</w:t>
      </w:r>
    </w:p>
    <w:p w14:paraId="184B7183" w14:textId="77777777" w:rsidR="00631DFD" w:rsidRPr="00F4129E" w:rsidRDefault="00631DFD" w:rsidP="00631DFD">
      <w:pPr>
        <w:pStyle w:val="wiParagraphContinuation"/>
      </w:pPr>
      <w:r w:rsidRPr="00F4129E">
        <w:t>Remove and replace the material, or if the engineer allows the mixture to remain in place, the department will pay for the quantity of affected material at 50 percent of the contract price.</w:t>
      </w:r>
    </w:p>
    <w:p w14:paraId="214E73D3" w14:textId="77777777" w:rsidR="00631DFD" w:rsidRPr="00F4129E" w:rsidRDefault="00631DFD" w:rsidP="00631DFD">
      <w:pPr>
        <w:pStyle w:val="wiParagraph"/>
      </w:pPr>
      <w:r w:rsidRPr="00F4129E">
        <w:tab/>
      </w:r>
      <w:r w:rsidRPr="00F4129E">
        <w:rPr>
          <w:rStyle w:val="wiParagraphNumber"/>
        </w:rPr>
        <w:t>(7)</w:t>
      </w:r>
      <w:r w:rsidRPr="00F4129E">
        <w:tab/>
        <w:t xml:space="preserve">If the department waives density testing under </w:t>
      </w:r>
      <w:r w:rsidRPr="00F4129E">
        <w:rPr>
          <w:rStyle w:val="wiLink"/>
        </w:rPr>
        <w:t>460.3.3.3</w:t>
      </w:r>
      <w:r w:rsidRPr="00F4129E">
        <w:t xml:space="preserve">, the department will not adjust pay under either </w:t>
      </w:r>
      <w:r w:rsidRPr="00F4129E">
        <w:rPr>
          <w:rStyle w:val="wiLink"/>
        </w:rPr>
        <w:t>460.5.2.2</w:t>
      </w:r>
      <w:r w:rsidRPr="00F4129E">
        <w:t xml:space="preserve"> or </w:t>
      </w:r>
      <w:r w:rsidRPr="00F4129E">
        <w:rPr>
          <w:rStyle w:val="wiLink"/>
        </w:rPr>
        <w:t>460.5.2.3</w:t>
      </w:r>
      <w:r w:rsidRPr="00F4129E">
        <w:t>.</w:t>
      </w:r>
    </w:p>
    <w:p w14:paraId="59BE3932" w14:textId="77777777" w:rsidR="00631DFD" w:rsidRPr="00F4129E" w:rsidRDefault="00631DFD" w:rsidP="00631DFD">
      <w:pPr>
        <w:pStyle w:val="wiParagraph"/>
      </w:pPr>
      <w:r w:rsidRPr="00F4129E">
        <w:tab/>
      </w:r>
      <w:r w:rsidRPr="00F4129E">
        <w:rPr>
          <w:rStyle w:val="wiParagraphNumber"/>
        </w:rPr>
        <w:t>(8)</w:t>
      </w:r>
      <w:r w:rsidRPr="00F4129E">
        <w:tab/>
        <w:t xml:space="preserve">Restore the surface after cutting density samples as specified in </w:t>
      </w:r>
      <w:r w:rsidRPr="00F4129E">
        <w:rPr>
          <w:rStyle w:val="wiLink"/>
        </w:rPr>
        <w:t>460.3.3.2</w:t>
      </w:r>
      <w:r w:rsidRPr="00F4129E">
        <w:t>(1) at no additional cost to the department.</w:t>
      </w:r>
    </w:p>
    <w:p w14:paraId="71A5214E" w14:textId="77777777" w:rsidR="00631DFD" w:rsidRPr="00F4129E" w:rsidRDefault="00631DFD" w:rsidP="00631DFD">
      <w:pPr>
        <w:pStyle w:val="wiHeading3"/>
      </w:pPr>
      <w:proofErr w:type="gramStart"/>
      <w:r w:rsidRPr="00F4129E">
        <w:t>460.5.2.2  Disincentive</w:t>
      </w:r>
      <w:proofErr w:type="gramEnd"/>
      <w:r w:rsidRPr="00F4129E">
        <w:t xml:space="preserve"> for </w:t>
      </w:r>
      <w:proofErr w:type="spellStart"/>
      <w:r w:rsidRPr="00F4129E">
        <w:t>HMA</w:t>
      </w:r>
      <w:proofErr w:type="spellEnd"/>
      <w:r w:rsidRPr="00F4129E">
        <w:t xml:space="preserve"> Pavement Density</w:t>
      </w:r>
    </w:p>
    <w:p w14:paraId="66FBADFC" w14:textId="0F5950E2" w:rsidR="00631DFD" w:rsidRDefault="00631DFD" w:rsidP="00631DFD">
      <w:pPr>
        <w:pStyle w:val="wiParagraph"/>
      </w:pPr>
      <w:r w:rsidRPr="00F4129E">
        <w:tab/>
      </w:r>
      <w:r w:rsidRPr="00F4129E">
        <w:rPr>
          <w:rStyle w:val="wiParagraphNumber"/>
        </w:rPr>
        <w:t>(1)</w:t>
      </w:r>
      <w:r w:rsidRPr="00F4129E">
        <w:tab/>
        <w:t xml:space="preserve">The department will administer density disincentives under the Disincentive Density </w:t>
      </w:r>
      <w:proofErr w:type="spellStart"/>
      <w:r w:rsidRPr="00F4129E">
        <w:t>HMA</w:t>
      </w:r>
      <w:proofErr w:type="spellEnd"/>
      <w:r w:rsidRPr="00F4129E">
        <w:t xml:space="preserve"> Pavement administrative item. If the lot density is less than the specified minimum in table 460-3, the department will reduce pay based on the contract unit price for the </w:t>
      </w:r>
      <w:proofErr w:type="spellStart"/>
      <w:r w:rsidRPr="00F4129E">
        <w:t>HMA</w:t>
      </w:r>
      <w:proofErr w:type="spellEnd"/>
      <w:r w:rsidRPr="00F4129E">
        <w:t xml:space="preserve"> Pavement bid item for that lot as follows:</w:t>
      </w:r>
    </w:p>
    <w:p w14:paraId="7080AD43" w14:textId="77777777" w:rsidR="00052A5F" w:rsidRPr="00F4129E" w:rsidRDefault="00052A5F" w:rsidP="00052A5F">
      <w:pPr>
        <w:pStyle w:val="wiTableBuffer"/>
      </w:pPr>
    </w:p>
    <w:p w14:paraId="604E981A" w14:textId="7C0F2ACD" w:rsidR="00631DFD" w:rsidRDefault="00631DFD" w:rsidP="00631DFD">
      <w:pPr>
        <w:pStyle w:val="wiTableTitle"/>
      </w:pPr>
      <w:r w:rsidRPr="00F4129E">
        <w:t xml:space="preserve">DISINCENTIVE PAY REDUCTION FOR </w:t>
      </w:r>
      <w:proofErr w:type="spellStart"/>
      <w:r w:rsidRPr="00F4129E">
        <w:t>HMA</w:t>
      </w:r>
      <w:proofErr w:type="spellEnd"/>
      <w:r w:rsidRPr="00F4129E">
        <w:t xml:space="preserve"> PAVEMENT DENSITY</w:t>
      </w:r>
    </w:p>
    <w:p w14:paraId="6CEA0204" w14:textId="77777777" w:rsidR="00052A5F" w:rsidRPr="00F4129E" w:rsidRDefault="00052A5F" w:rsidP="00052A5F">
      <w:pPr>
        <w:pStyle w:val="wiTableBuffer"/>
      </w:pPr>
    </w:p>
    <w:p w14:paraId="422E0B71" w14:textId="77777777" w:rsidR="00631DFD" w:rsidRPr="00F4129E" w:rsidRDefault="00631DFD" w:rsidP="00631DFD">
      <w:pPr>
        <w:pStyle w:val="wiTable2Col"/>
        <w:keepNext/>
      </w:pPr>
      <w:r w:rsidRPr="00F4129E">
        <w:tab/>
      </w:r>
      <w:r w:rsidRPr="00052A5F">
        <w:rPr>
          <w:u w:val="single"/>
        </w:rPr>
        <w:t>PERCENT LOT DENSITY</w:t>
      </w:r>
      <w:r w:rsidRPr="00F4129E">
        <w:tab/>
      </w:r>
      <w:r w:rsidRPr="00052A5F">
        <w:rPr>
          <w:u w:val="single"/>
        </w:rPr>
        <w:t>PAYMENT FACTOR</w:t>
      </w:r>
    </w:p>
    <w:p w14:paraId="7B79BA66" w14:textId="77777777" w:rsidR="00631DFD" w:rsidRPr="00F4129E" w:rsidRDefault="00631DFD" w:rsidP="00631DFD">
      <w:pPr>
        <w:pStyle w:val="wiTable2Col"/>
        <w:keepNext/>
      </w:pPr>
      <w:r w:rsidRPr="00F4129E">
        <w:tab/>
      </w:r>
      <w:r w:rsidRPr="00052A5F">
        <w:rPr>
          <w:u w:val="single"/>
        </w:rPr>
        <w:t>BELOW SPECIFIED MINIMUM</w:t>
      </w:r>
      <w:r w:rsidRPr="00F4129E">
        <w:tab/>
      </w:r>
      <w:r w:rsidRPr="00052A5F">
        <w:rPr>
          <w:u w:val="single"/>
        </w:rPr>
        <w:t>(percent of contract price)</w:t>
      </w:r>
    </w:p>
    <w:p w14:paraId="07F0DEC8" w14:textId="77777777" w:rsidR="00631DFD" w:rsidRPr="00F4129E" w:rsidRDefault="00631DFD" w:rsidP="00631DFD">
      <w:pPr>
        <w:pStyle w:val="wiTable2Col"/>
        <w:keepNext/>
      </w:pPr>
      <w:r w:rsidRPr="00F4129E">
        <w:tab/>
        <w:t>From 0.5 to 1.0 inclusive</w:t>
      </w:r>
      <w:r w:rsidRPr="00F4129E">
        <w:tab/>
        <w:t>98</w:t>
      </w:r>
    </w:p>
    <w:p w14:paraId="3E9F5EB8" w14:textId="77777777" w:rsidR="00631DFD" w:rsidRPr="00F4129E" w:rsidRDefault="00631DFD" w:rsidP="00631DFD">
      <w:pPr>
        <w:pStyle w:val="wiTable2Col"/>
        <w:keepNext/>
      </w:pPr>
      <w:r w:rsidRPr="00F4129E">
        <w:tab/>
        <w:t>From 1.1 to 1.5 inclusive</w:t>
      </w:r>
      <w:r w:rsidRPr="00F4129E">
        <w:tab/>
        <w:t>95</w:t>
      </w:r>
    </w:p>
    <w:p w14:paraId="03019E4D" w14:textId="77777777" w:rsidR="00631DFD" w:rsidRPr="00F4129E" w:rsidRDefault="00631DFD" w:rsidP="00631DFD">
      <w:pPr>
        <w:pStyle w:val="wiTable2Col"/>
        <w:keepNext/>
      </w:pPr>
      <w:r w:rsidRPr="00F4129E">
        <w:tab/>
        <w:t>From 1.6 to 2.0 inclusive</w:t>
      </w:r>
      <w:r w:rsidRPr="00F4129E">
        <w:tab/>
        <w:t>91</w:t>
      </w:r>
    </w:p>
    <w:p w14:paraId="7022A133" w14:textId="77777777" w:rsidR="00631DFD" w:rsidRPr="00F4129E" w:rsidRDefault="00631DFD" w:rsidP="00631DFD">
      <w:pPr>
        <w:pStyle w:val="wiTable2Col"/>
        <w:keepNext/>
      </w:pPr>
      <w:r w:rsidRPr="00F4129E">
        <w:tab/>
        <w:t>From 2.1 to 2.5 inclusive</w:t>
      </w:r>
      <w:r w:rsidRPr="00F4129E">
        <w:tab/>
        <w:t>85</w:t>
      </w:r>
    </w:p>
    <w:p w14:paraId="7B8F0854" w14:textId="77777777" w:rsidR="00631DFD" w:rsidRPr="00F4129E" w:rsidRDefault="00631DFD" w:rsidP="00631DFD">
      <w:pPr>
        <w:pStyle w:val="wiTable2Col"/>
        <w:keepNext/>
      </w:pPr>
      <w:r w:rsidRPr="00F4129E">
        <w:tab/>
        <w:t>From 2.6 to 3.0 inclusive</w:t>
      </w:r>
      <w:r w:rsidRPr="00F4129E">
        <w:tab/>
        <w:t>70</w:t>
      </w:r>
    </w:p>
    <w:p w14:paraId="393F7787" w14:textId="77777777" w:rsidR="00631DFD" w:rsidRPr="00F4129E" w:rsidRDefault="00631DFD" w:rsidP="00631DFD">
      <w:pPr>
        <w:pStyle w:val="wiTable2Col"/>
        <w:keepNext/>
      </w:pPr>
      <w:r w:rsidRPr="00F4129E">
        <w:tab/>
        <w:t>More than 3.0</w:t>
      </w:r>
      <w:r w:rsidRPr="00F4129E">
        <w:rPr>
          <w:i/>
          <w:vertAlign w:val="superscript"/>
        </w:rPr>
        <w:t>[1]</w:t>
      </w:r>
      <w:r w:rsidRPr="00F4129E">
        <w:tab/>
        <w:t>___</w:t>
      </w:r>
    </w:p>
    <w:p w14:paraId="2D0005FA" w14:textId="77777777" w:rsidR="00052A5F" w:rsidRDefault="00052A5F" w:rsidP="00052A5F">
      <w:pPr>
        <w:pStyle w:val="wiTableBuffer"/>
      </w:pPr>
    </w:p>
    <w:p w14:paraId="52D93701" w14:textId="09701C72" w:rsidR="00631DFD" w:rsidRDefault="00631DFD" w:rsidP="00631DFD">
      <w:pPr>
        <w:pStyle w:val="wiFootnote"/>
      </w:pPr>
      <w:r w:rsidRPr="00F4129E">
        <w:tab/>
      </w:r>
      <w:r w:rsidRPr="00F4129E">
        <w:rPr>
          <w:i/>
          <w:vertAlign w:val="superscript"/>
        </w:rPr>
        <w:t>[1]</w:t>
      </w:r>
      <w:r w:rsidRPr="00F4129E">
        <w:tab/>
        <w:t xml:space="preserve">Remove and replace the lot with a mixture at the specified density. When acceptably replaced, the department will pay for the replaced work at the contract unit price. </w:t>
      </w:r>
      <w:r w:rsidR="0054468F" w:rsidRPr="00F4129E">
        <w:t>Alternatively,</w:t>
      </w:r>
      <w:r w:rsidRPr="00F4129E">
        <w:t xml:space="preserve"> the engineer may allow the nonconforming material to remain in place with a 50 percent payment factor.</w:t>
      </w:r>
    </w:p>
    <w:p w14:paraId="72200DB5" w14:textId="0A68D700" w:rsidR="00631DFD" w:rsidRDefault="00631DFD" w:rsidP="00631DFD">
      <w:pPr>
        <w:pStyle w:val="wiParagraph"/>
      </w:pPr>
      <w:r w:rsidRPr="00F4129E">
        <w:tab/>
      </w:r>
      <w:r w:rsidRPr="00F4129E">
        <w:rPr>
          <w:rStyle w:val="wiParagraphNumber"/>
        </w:rPr>
        <w:t>(2)</w:t>
      </w:r>
      <w:r w:rsidRPr="00F4129E">
        <w:tab/>
        <w:t xml:space="preserve">The department will not assess density disincentives for pavement placed in cold weather because of a department-caused delay as specified in </w:t>
      </w:r>
      <w:r w:rsidRPr="00F4129E">
        <w:rPr>
          <w:rStyle w:val="wiLink"/>
        </w:rPr>
        <w:t>450.5.2</w:t>
      </w:r>
      <w:r w:rsidRPr="00F4129E">
        <w:t>(3).</w:t>
      </w:r>
    </w:p>
    <w:p w14:paraId="730CDFB5" w14:textId="77777777" w:rsidR="007062A8" w:rsidRPr="007062A8" w:rsidRDefault="007062A8" w:rsidP="00047260">
      <w:pPr>
        <w:pStyle w:val="wiTableBuffer"/>
      </w:pPr>
    </w:p>
    <w:p w14:paraId="52BACB9E" w14:textId="77777777" w:rsidR="00631DFD" w:rsidRPr="00F4129E" w:rsidRDefault="00631DFD" w:rsidP="00631DFD">
      <w:pPr>
        <w:pStyle w:val="wiHeading3"/>
      </w:pPr>
      <w:proofErr w:type="gramStart"/>
      <w:r w:rsidRPr="00F4129E">
        <w:t>460.5.2.3  Incentive</w:t>
      </w:r>
      <w:proofErr w:type="gramEnd"/>
      <w:r w:rsidRPr="00F4129E">
        <w:t xml:space="preserve"> for </w:t>
      </w:r>
      <w:proofErr w:type="spellStart"/>
      <w:r w:rsidRPr="00F4129E">
        <w:t>HMA</w:t>
      </w:r>
      <w:proofErr w:type="spellEnd"/>
      <w:r w:rsidRPr="00F4129E">
        <w:t xml:space="preserve"> Pavement Density</w:t>
      </w:r>
    </w:p>
    <w:p w14:paraId="632257C5" w14:textId="77777777" w:rsidR="00631DFD" w:rsidRPr="00F4129E" w:rsidRDefault="00631DFD" w:rsidP="00631DFD">
      <w:pPr>
        <w:pStyle w:val="wiParagraph"/>
      </w:pPr>
      <w:r w:rsidRPr="00F4129E">
        <w:tab/>
      </w:r>
      <w:r w:rsidRPr="00F4129E">
        <w:rPr>
          <w:rStyle w:val="wiParagraphNumber"/>
        </w:rPr>
        <w:t>(1)</w:t>
      </w:r>
      <w:r w:rsidRPr="00F4129E">
        <w:tab/>
        <w:t xml:space="preserve">If the lot density is greater than the minimum specified in table 460-3 and all QC and QV air voids test results for that mixture placed during the same day are within 2.5 - 4.0 percent, or for </w:t>
      </w:r>
      <w:proofErr w:type="spellStart"/>
      <w:r w:rsidRPr="00F4129E">
        <w:t>SMA</w:t>
      </w:r>
      <w:proofErr w:type="spellEnd"/>
      <w:r w:rsidRPr="00F4129E">
        <w:t xml:space="preserve"> 4.0 - 5.5 percent, the department will adjust pay for that lot as follows:</w:t>
      </w:r>
    </w:p>
    <w:p w14:paraId="378E0592" w14:textId="080BBFA7" w:rsidR="00631DFD" w:rsidRDefault="00631DFD" w:rsidP="00631DFD">
      <w:pPr>
        <w:pStyle w:val="wiTableTitle"/>
      </w:pPr>
      <w:r w:rsidRPr="00F4129E">
        <w:t xml:space="preserve">INCENTIVE PAY ADJUSTMENT FOR </w:t>
      </w:r>
      <w:proofErr w:type="spellStart"/>
      <w:r w:rsidRPr="00F4129E">
        <w:t>HMA</w:t>
      </w:r>
      <w:proofErr w:type="spellEnd"/>
      <w:r w:rsidRPr="00F4129E">
        <w:t xml:space="preserve"> PAVEMENT DENSITY</w:t>
      </w:r>
    </w:p>
    <w:p w14:paraId="45C431AD" w14:textId="77777777" w:rsidR="00052A5F" w:rsidRPr="00F4129E" w:rsidRDefault="00052A5F" w:rsidP="00EB3016">
      <w:pPr>
        <w:pStyle w:val="wiTableBuffer"/>
      </w:pPr>
    </w:p>
    <w:p w14:paraId="5E78862F" w14:textId="77777777" w:rsidR="00631DFD" w:rsidRPr="00F4129E" w:rsidRDefault="00631DFD" w:rsidP="00631DFD">
      <w:pPr>
        <w:pStyle w:val="wiTable2Col"/>
        <w:keepNext/>
      </w:pPr>
      <w:r w:rsidRPr="00EB3016">
        <w:rPr>
          <w:u w:val="single"/>
        </w:rPr>
        <w:tab/>
        <w:t>PERCENT LOT DENSITY ABOVE SPECIFIED MINIMUM</w:t>
      </w:r>
      <w:r w:rsidRPr="00F4129E">
        <w:tab/>
      </w:r>
      <w:r w:rsidRPr="00EB3016">
        <w:rPr>
          <w:u w:val="single"/>
        </w:rPr>
        <w:t xml:space="preserve">PAY ADJUSTMENT PER </w:t>
      </w:r>
      <w:proofErr w:type="gramStart"/>
      <w:r w:rsidRPr="00EB3016">
        <w:rPr>
          <w:u w:val="single"/>
        </w:rPr>
        <w:t>TON</w:t>
      </w:r>
      <w:r w:rsidRPr="00EB3016">
        <w:rPr>
          <w:i/>
          <w:u w:val="single"/>
          <w:vertAlign w:val="superscript"/>
        </w:rPr>
        <w:t>[</w:t>
      </w:r>
      <w:proofErr w:type="gramEnd"/>
      <w:r w:rsidRPr="00EB3016">
        <w:rPr>
          <w:i/>
          <w:u w:val="single"/>
          <w:vertAlign w:val="superscript"/>
        </w:rPr>
        <w:t>1]</w:t>
      </w:r>
    </w:p>
    <w:p w14:paraId="50C0923D" w14:textId="77777777" w:rsidR="00631DFD" w:rsidRPr="00F4129E" w:rsidRDefault="00631DFD" w:rsidP="00631DFD">
      <w:pPr>
        <w:pStyle w:val="wiTable2Col"/>
        <w:keepNext/>
      </w:pPr>
      <w:r w:rsidRPr="00F4129E">
        <w:tab/>
        <w:t>From -0.4 to 1.0 inclusive</w:t>
      </w:r>
      <w:r w:rsidRPr="00F4129E">
        <w:tab/>
        <w:t>$0</w:t>
      </w:r>
    </w:p>
    <w:p w14:paraId="06B70DD9" w14:textId="77777777" w:rsidR="00631DFD" w:rsidRPr="00F4129E" w:rsidRDefault="00631DFD" w:rsidP="00631DFD">
      <w:pPr>
        <w:pStyle w:val="wiTable2Col"/>
        <w:keepNext/>
      </w:pPr>
      <w:r w:rsidRPr="00F4129E">
        <w:tab/>
        <w:t>From 1.1 to 1.8 inclusive</w:t>
      </w:r>
      <w:r w:rsidRPr="00F4129E">
        <w:tab/>
        <w:t>$0.40</w:t>
      </w:r>
    </w:p>
    <w:p w14:paraId="379AEF96" w14:textId="77777777" w:rsidR="00631DFD" w:rsidRPr="00F4129E" w:rsidRDefault="00631DFD" w:rsidP="00631DFD">
      <w:pPr>
        <w:pStyle w:val="wiTable2Col"/>
        <w:keepNext/>
      </w:pPr>
      <w:r w:rsidRPr="00F4129E">
        <w:tab/>
        <w:t>More than 1.8</w:t>
      </w:r>
      <w:r w:rsidRPr="00F4129E">
        <w:tab/>
        <w:t>$0.80</w:t>
      </w:r>
    </w:p>
    <w:p w14:paraId="78EE4864" w14:textId="77777777" w:rsidR="007062A8" w:rsidRPr="007062A8" w:rsidRDefault="007062A8" w:rsidP="00047260">
      <w:pPr>
        <w:pStyle w:val="wiTableBuffer"/>
      </w:pPr>
    </w:p>
    <w:p w14:paraId="4DE61858" w14:textId="1C4E4D23" w:rsidR="00631DFD" w:rsidRDefault="00631DFD" w:rsidP="00631DFD">
      <w:pPr>
        <w:pStyle w:val="wiFootnote"/>
      </w:pPr>
      <w:r w:rsidRPr="00F4129E">
        <w:tab/>
      </w:r>
      <w:r w:rsidRPr="00F4129E">
        <w:rPr>
          <w:i/>
          <w:vertAlign w:val="superscript"/>
        </w:rPr>
        <w:t>[1]</w:t>
      </w:r>
      <w:r w:rsidRPr="00F4129E">
        <w:tab/>
        <w:t>The department will prorate the pay adjustment for a partial lot.</w:t>
      </w:r>
    </w:p>
    <w:p w14:paraId="02F203EC" w14:textId="77777777" w:rsidR="00EB3016" w:rsidRDefault="00EB3016" w:rsidP="00EB3016">
      <w:pPr>
        <w:pStyle w:val="wiTableBuffer"/>
      </w:pPr>
    </w:p>
    <w:p w14:paraId="0F40D36B" w14:textId="77777777" w:rsidR="00631DFD" w:rsidRPr="00F4129E" w:rsidRDefault="00631DFD" w:rsidP="00631DFD">
      <w:pPr>
        <w:pStyle w:val="wiParagraph"/>
      </w:pPr>
      <w:r w:rsidRPr="00F4129E">
        <w:tab/>
      </w:r>
      <w:r w:rsidRPr="00F4129E">
        <w:rPr>
          <w:rStyle w:val="wiParagraphNumber"/>
        </w:rPr>
        <w:t>(2)</w:t>
      </w:r>
      <w:r w:rsidRPr="00F4129E">
        <w:tab/>
        <w:t xml:space="preserve">The department will adjust pay under the Incentive Density </w:t>
      </w:r>
      <w:proofErr w:type="spellStart"/>
      <w:r w:rsidRPr="00F4129E">
        <w:t>HMA</w:t>
      </w:r>
      <w:proofErr w:type="spellEnd"/>
      <w:r w:rsidRPr="00F4129E">
        <w:t xml:space="preserve"> Pavement bid item. Adjustment under this item is not limited, either up or down, to the bid amount the schedule of items shows.</w:t>
      </w:r>
    </w:p>
    <w:p w14:paraId="44FB757B" w14:textId="77777777" w:rsidR="00631DFD" w:rsidRPr="00F4129E" w:rsidRDefault="00631DFD" w:rsidP="00631DFD">
      <w:pPr>
        <w:pStyle w:val="wiParagraph"/>
      </w:pPr>
      <w:r w:rsidRPr="00F4129E">
        <w:tab/>
      </w:r>
      <w:r w:rsidRPr="00F4129E">
        <w:rPr>
          <w:rStyle w:val="wiParagraphNumber"/>
        </w:rPr>
        <w:t>(3)</w:t>
      </w:r>
      <w:r w:rsidRPr="00F4129E">
        <w:tab/>
        <w:t>For shoulders paved integrally with the traffic lane, if the traffic lane does not meet incentive requirements, the department will not pay incentive on the integrally paved shoulder.</w:t>
      </w:r>
    </w:p>
    <w:p w14:paraId="7DD6BFB4" w14:textId="77777777" w:rsidR="00631DFD" w:rsidRPr="00F4129E" w:rsidRDefault="00631DFD" w:rsidP="00631DFD">
      <w:pPr>
        <w:pStyle w:val="wiParagraph"/>
      </w:pPr>
      <w:r w:rsidRPr="00F4129E">
        <w:tab/>
      </w:r>
      <w:r w:rsidRPr="00F4129E">
        <w:rPr>
          <w:rStyle w:val="wiParagraphNumber"/>
        </w:rPr>
        <w:t>(4)</w:t>
      </w:r>
      <w:r w:rsidRPr="00F4129E">
        <w:tab/>
      </w:r>
      <w:proofErr w:type="spellStart"/>
      <w:r w:rsidRPr="00F4129E">
        <w:t>SMA</w:t>
      </w:r>
      <w:proofErr w:type="spellEnd"/>
      <w:r w:rsidRPr="00F4129E">
        <w:t xml:space="preserve"> lots containing an individual density test result greater than 97.0 percent </w:t>
      </w:r>
      <w:proofErr w:type="spellStart"/>
      <w:r w:rsidRPr="00F4129E">
        <w:t>Gmm</w:t>
      </w:r>
      <w:proofErr w:type="spellEnd"/>
      <w:r w:rsidRPr="00F4129E">
        <w:t xml:space="preserve"> will not be eligible for incentive pay adjustment.</w:t>
      </w:r>
    </w:p>
    <w:p w14:paraId="32855C4B" w14:textId="77777777" w:rsidR="00631DFD" w:rsidRPr="00F4129E" w:rsidRDefault="00631DFD" w:rsidP="00631DFD">
      <w:pPr>
        <w:pStyle w:val="wiParagraph"/>
      </w:pPr>
      <w:r w:rsidRPr="00F4129E">
        <w:tab/>
      </w:r>
      <w:r w:rsidRPr="00F4129E">
        <w:rPr>
          <w:rStyle w:val="wiParagraphNumber"/>
        </w:rPr>
        <w:t>(5)</w:t>
      </w:r>
      <w:r w:rsidRPr="00F4129E">
        <w:tab/>
        <w:t>Only contracts subject to both density and mixture air void testing will be eligible for density incentive.</w:t>
      </w:r>
    </w:p>
    <w:sectPr w:rsidR="00631DFD" w:rsidRPr="00F4129E" w:rsidSect="002B7FB3">
      <w:footerReference w:type="default" r:id="rId9"/>
      <w:footerReference w:type="first" r:id="rId10"/>
      <w:pgSz w:w="12240" w:h="15840" w:code="1"/>
      <w:pgMar w:top="1008" w:right="1440" w:bottom="720" w:left="1440" w:header="576" w:footer="288" w:gutter="0"/>
      <w:pgNumType w:start="175"/>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8C35D4" w14:textId="77777777" w:rsidR="004F35BF" w:rsidRDefault="004F35BF">
      <w:r>
        <w:separator/>
      </w:r>
    </w:p>
  </w:endnote>
  <w:endnote w:type="continuationSeparator" w:id="0">
    <w:p w14:paraId="567606A0" w14:textId="77777777" w:rsidR="004F35BF" w:rsidRDefault="004F35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73267" w14:textId="1E95F519" w:rsidR="00D03502" w:rsidRDefault="00D03502" w:rsidP="00255BDE">
    <w:pPr>
      <w:pStyle w:val="Footer"/>
    </w:pPr>
    <w:r>
      <w:t xml:space="preserve">Effective with the </w:t>
    </w:r>
    <w:r w:rsidR="0094532E">
      <w:t>November 202</w:t>
    </w:r>
    <w:r w:rsidR="00F85412">
      <w:t>4</w:t>
    </w:r>
    <w:r>
      <w:t xml:space="preserve"> Letting</w:t>
    </w:r>
    <w:r w:rsidRPr="001F765D">
      <w:tab/>
    </w:r>
    <w:r>
      <w:rPr>
        <w:rStyle w:val="PageNumber"/>
      </w:rPr>
      <w:fldChar w:fldCharType="begin"/>
    </w:r>
    <w:r>
      <w:rPr>
        <w:rStyle w:val="PageNumber"/>
      </w:rPr>
      <w:instrText xml:space="preserve"> PAGE </w:instrText>
    </w:r>
    <w:r>
      <w:rPr>
        <w:rStyle w:val="PageNumber"/>
      </w:rPr>
      <w:fldChar w:fldCharType="separate"/>
    </w:r>
    <w:r>
      <w:rPr>
        <w:rStyle w:val="PageNumber"/>
        <w:noProof/>
      </w:rPr>
      <w:t>266</w:t>
    </w:r>
    <w:r>
      <w:rPr>
        <w:rStyle w:val="PageNumber"/>
      </w:rPr>
      <w:fldChar w:fldCharType="end"/>
    </w:r>
    <w:r w:rsidRPr="001F765D">
      <w:tab/>
    </w:r>
    <w:r w:rsidR="00A202E9" w:rsidRPr="00A74838">
      <w:rPr>
        <w:rStyle w:val="PageNumber"/>
      </w:rPr>
      <w:t>202</w:t>
    </w:r>
    <w:r w:rsidR="00A74838" w:rsidRPr="00A74838">
      <w:rPr>
        <w:rStyle w:val="PageNumber"/>
      </w:rPr>
      <w:t>4</w:t>
    </w:r>
    <w:r w:rsidR="00A202E9">
      <w:rPr>
        <w:rStyle w:val="PageNumber"/>
      </w:rPr>
      <w:t xml:space="preserve"> </w:t>
    </w:r>
    <w:r w:rsidR="00E27BD6">
      <w:rPr>
        <w:rStyle w:val="PageNumber"/>
      </w:rPr>
      <w:t>Standard</w:t>
    </w:r>
    <w:r w:rsidR="00100F88">
      <w:rPr>
        <w:rStyle w:val="PageNumber"/>
      </w:rPr>
      <w:t xml:space="preserve"> </w:t>
    </w:r>
    <w:r w:rsidR="008E12A9">
      <w:rPr>
        <w:rStyle w:val="PageNumber"/>
      </w:rPr>
      <w:t>Specifications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85743" w14:textId="34DA30F7" w:rsidR="00D03502" w:rsidRDefault="00D03502" w:rsidP="00255BDE">
    <w:pPr>
      <w:pStyle w:val="Footer"/>
    </w:pPr>
    <w:r>
      <w:t xml:space="preserve">Effective with the </w:t>
    </w:r>
    <w:r w:rsidR="0094532E">
      <w:t>November 2023</w:t>
    </w:r>
    <w:r>
      <w:t xml:space="preserve"> Letting</w:t>
    </w:r>
    <w:r w:rsidRPr="001F765D">
      <w:tab/>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sidRPr="001F765D">
      <w:tab/>
    </w:r>
    <w:r w:rsidR="00A202E9">
      <w:rPr>
        <w:rStyle w:val="PageNumber"/>
      </w:rPr>
      <w:t xml:space="preserve">2024 </w:t>
    </w:r>
    <w:r w:rsidR="00E27BD6">
      <w:rPr>
        <w:rStyle w:val="PageNumber"/>
      </w:rPr>
      <w:t>Standard</w:t>
    </w:r>
    <w:r w:rsidR="00100F88">
      <w:rPr>
        <w:rStyle w:val="PageNumber"/>
      </w:rPr>
      <w:t xml:space="preserve"> </w:t>
    </w:r>
    <w:r w:rsidR="008E12A9">
      <w:rPr>
        <w:rStyle w:val="PageNumber"/>
      </w:rPr>
      <w:t>Specifications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63ACC" w14:textId="77777777" w:rsidR="004F35BF" w:rsidRDefault="004F35BF">
      <w:r>
        <w:separator/>
      </w:r>
    </w:p>
  </w:footnote>
  <w:footnote w:type="continuationSeparator" w:id="0">
    <w:p w14:paraId="57917003" w14:textId="77777777" w:rsidR="004F35BF" w:rsidRDefault="004F35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44486B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8C8209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65ABC1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40E9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A5E166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B82CF7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41C630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C96156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824A12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7EEB31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466C78"/>
    <w:multiLevelType w:val="hybridMultilevel"/>
    <w:tmpl w:val="2856B3FC"/>
    <w:lvl w:ilvl="0" w:tplc="04090001">
      <w:start w:val="1"/>
      <w:numFmt w:val="bullet"/>
      <w:lvlText w:val=""/>
      <w:lvlJc w:val="left"/>
      <w:pPr>
        <w:ind w:left="288" w:hanging="360"/>
      </w:pPr>
      <w:rPr>
        <w:rFonts w:ascii="Symbol" w:hAnsi="Symbol" w:hint="default"/>
      </w:rPr>
    </w:lvl>
    <w:lvl w:ilvl="1" w:tplc="04090003" w:tentative="1">
      <w:start w:val="1"/>
      <w:numFmt w:val="bullet"/>
      <w:lvlText w:val="o"/>
      <w:lvlJc w:val="left"/>
      <w:pPr>
        <w:ind w:left="1008" w:hanging="360"/>
      </w:pPr>
      <w:rPr>
        <w:rFonts w:ascii="Courier New" w:hAnsi="Courier New" w:cs="Courier New" w:hint="default"/>
      </w:rPr>
    </w:lvl>
    <w:lvl w:ilvl="2" w:tplc="04090005" w:tentative="1">
      <w:start w:val="1"/>
      <w:numFmt w:val="bullet"/>
      <w:lvlText w:val=""/>
      <w:lvlJc w:val="left"/>
      <w:pPr>
        <w:ind w:left="1728" w:hanging="360"/>
      </w:pPr>
      <w:rPr>
        <w:rFonts w:ascii="Wingdings" w:hAnsi="Wingdings" w:hint="default"/>
      </w:rPr>
    </w:lvl>
    <w:lvl w:ilvl="3" w:tplc="04090001" w:tentative="1">
      <w:start w:val="1"/>
      <w:numFmt w:val="bullet"/>
      <w:lvlText w:val=""/>
      <w:lvlJc w:val="left"/>
      <w:pPr>
        <w:ind w:left="2448" w:hanging="360"/>
      </w:pPr>
      <w:rPr>
        <w:rFonts w:ascii="Symbol" w:hAnsi="Symbol" w:hint="default"/>
      </w:rPr>
    </w:lvl>
    <w:lvl w:ilvl="4" w:tplc="04090003" w:tentative="1">
      <w:start w:val="1"/>
      <w:numFmt w:val="bullet"/>
      <w:lvlText w:val="o"/>
      <w:lvlJc w:val="left"/>
      <w:pPr>
        <w:ind w:left="3168" w:hanging="360"/>
      </w:pPr>
      <w:rPr>
        <w:rFonts w:ascii="Courier New" w:hAnsi="Courier New" w:cs="Courier New" w:hint="default"/>
      </w:rPr>
    </w:lvl>
    <w:lvl w:ilvl="5" w:tplc="04090005" w:tentative="1">
      <w:start w:val="1"/>
      <w:numFmt w:val="bullet"/>
      <w:lvlText w:val=""/>
      <w:lvlJc w:val="left"/>
      <w:pPr>
        <w:ind w:left="3888" w:hanging="360"/>
      </w:pPr>
      <w:rPr>
        <w:rFonts w:ascii="Wingdings" w:hAnsi="Wingdings" w:hint="default"/>
      </w:rPr>
    </w:lvl>
    <w:lvl w:ilvl="6" w:tplc="04090001" w:tentative="1">
      <w:start w:val="1"/>
      <w:numFmt w:val="bullet"/>
      <w:lvlText w:val=""/>
      <w:lvlJc w:val="left"/>
      <w:pPr>
        <w:ind w:left="4608" w:hanging="360"/>
      </w:pPr>
      <w:rPr>
        <w:rFonts w:ascii="Symbol" w:hAnsi="Symbol" w:hint="default"/>
      </w:rPr>
    </w:lvl>
    <w:lvl w:ilvl="7" w:tplc="04090003" w:tentative="1">
      <w:start w:val="1"/>
      <w:numFmt w:val="bullet"/>
      <w:lvlText w:val="o"/>
      <w:lvlJc w:val="left"/>
      <w:pPr>
        <w:ind w:left="5328" w:hanging="360"/>
      </w:pPr>
      <w:rPr>
        <w:rFonts w:ascii="Courier New" w:hAnsi="Courier New" w:cs="Courier New" w:hint="default"/>
      </w:rPr>
    </w:lvl>
    <w:lvl w:ilvl="8" w:tplc="04090005" w:tentative="1">
      <w:start w:val="1"/>
      <w:numFmt w:val="bullet"/>
      <w:lvlText w:val=""/>
      <w:lvlJc w:val="left"/>
      <w:pPr>
        <w:ind w:left="6048" w:hanging="360"/>
      </w:pPr>
      <w:rPr>
        <w:rFonts w:ascii="Wingdings" w:hAnsi="Wingdings" w:hint="default"/>
      </w:rPr>
    </w:lvl>
  </w:abstractNum>
  <w:abstractNum w:abstractNumId="11" w15:restartNumberingAfterBreak="0">
    <w:nsid w:val="03BF57E9"/>
    <w:multiLevelType w:val="hybridMultilevel"/>
    <w:tmpl w:val="45F2D98A"/>
    <w:lvl w:ilvl="0" w:tplc="1DF6D576">
      <w:start w:val="8"/>
      <w:numFmt w:val="bullet"/>
      <w:lvlText w:val="-"/>
      <w:lvlJc w:val="left"/>
      <w:pPr>
        <w:ind w:left="1584" w:hanging="360"/>
      </w:pPr>
      <w:rPr>
        <w:rFonts w:ascii="Arial" w:eastAsia="Times New Roman" w:hAnsi="Arial" w:cs="Arial" w:hint="default"/>
        <w:color w:val="auto"/>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12" w15:restartNumberingAfterBreak="0">
    <w:nsid w:val="08217D00"/>
    <w:multiLevelType w:val="hybridMultilevel"/>
    <w:tmpl w:val="72BAA6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15D61B9"/>
    <w:multiLevelType w:val="hybridMultilevel"/>
    <w:tmpl w:val="91A02C56"/>
    <w:lvl w:ilvl="0" w:tplc="4E72CDDE">
      <w:start w:val="1"/>
      <w:numFmt w:val="bullet"/>
      <w:lvlText w:val="-"/>
      <w:lvlJc w:val="left"/>
      <w:pPr>
        <w:ind w:left="1005" w:hanging="360"/>
      </w:pPr>
      <w:rPr>
        <w:rFonts w:ascii="Arial" w:eastAsia="Arial" w:hAnsi="Arial" w:cs="Arial"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14" w15:restartNumberingAfterBreak="0">
    <w:nsid w:val="12EA5B79"/>
    <w:multiLevelType w:val="multilevel"/>
    <w:tmpl w:val="3EA8164E"/>
    <w:styleLink w:val="NumList"/>
    <w:lvl w:ilvl="0">
      <w:start w:val="1"/>
      <w:numFmt w:val="decimal"/>
      <w:lvlText w:val="%1."/>
      <w:lvlJc w:val="right"/>
      <w:pPr>
        <w:tabs>
          <w:tab w:val="num" w:pos="576"/>
        </w:tabs>
        <w:ind w:left="792" w:hanging="216"/>
      </w:pPr>
      <w:rPr>
        <w:rFonts w:ascii="Arial" w:hAnsi="Arial" w:hint="default"/>
        <w:b w:val="0"/>
        <w:i w:val="0"/>
        <w:sz w:val="18"/>
      </w:rPr>
    </w:lvl>
    <w:lvl w:ilvl="1">
      <w:start w:val="1"/>
      <w:numFmt w:val="decimal"/>
      <w:lvlText w:val="%1.%2."/>
      <w:lvlJc w:val="left"/>
      <w:pPr>
        <w:tabs>
          <w:tab w:val="num" w:pos="792"/>
        </w:tabs>
        <w:ind w:left="1008" w:hanging="216"/>
      </w:pPr>
      <w:rPr>
        <w:rFonts w:hint="default"/>
      </w:rPr>
    </w:lvl>
    <w:lvl w:ilvl="2">
      <w:start w:val="1"/>
      <w:numFmt w:val="decimal"/>
      <w:lvlText w:val="%1.%2.%3."/>
      <w:lvlJc w:val="left"/>
      <w:pPr>
        <w:tabs>
          <w:tab w:val="num" w:pos="1008"/>
        </w:tabs>
        <w:ind w:left="1224" w:hanging="216"/>
      </w:pPr>
      <w:rPr>
        <w:rFonts w:hint="default"/>
      </w:rPr>
    </w:lvl>
    <w:lvl w:ilvl="3">
      <w:start w:val="1"/>
      <w:numFmt w:val="decimal"/>
      <w:lvlText w:val="%1.%2.%3.%4."/>
      <w:lvlJc w:val="left"/>
      <w:pPr>
        <w:tabs>
          <w:tab w:val="num" w:pos="1224"/>
        </w:tabs>
        <w:ind w:left="1440" w:hanging="216"/>
      </w:pPr>
      <w:rPr>
        <w:rFonts w:hint="default"/>
      </w:rPr>
    </w:lvl>
    <w:lvl w:ilvl="4">
      <w:start w:val="1"/>
      <w:numFmt w:val="decimal"/>
      <w:lvlText w:val="%1.%2.%3.%4.%5."/>
      <w:lvlJc w:val="left"/>
      <w:pPr>
        <w:tabs>
          <w:tab w:val="num" w:pos="1440"/>
        </w:tabs>
        <w:ind w:left="1656" w:hanging="216"/>
      </w:pPr>
      <w:rPr>
        <w:rFonts w:hint="default"/>
      </w:rPr>
    </w:lvl>
    <w:lvl w:ilvl="5">
      <w:start w:val="1"/>
      <w:numFmt w:val="decimal"/>
      <w:lvlText w:val="%1.%2.%3.%4.%5.%6."/>
      <w:lvlJc w:val="left"/>
      <w:pPr>
        <w:tabs>
          <w:tab w:val="num" w:pos="1656"/>
        </w:tabs>
        <w:ind w:left="1872" w:hanging="216"/>
      </w:pPr>
      <w:rPr>
        <w:rFonts w:hint="default"/>
      </w:rPr>
    </w:lvl>
    <w:lvl w:ilvl="6">
      <w:start w:val="1"/>
      <w:numFmt w:val="decimal"/>
      <w:lvlText w:val="%1.%2.%3.%4.%5.%6.%7."/>
      <w:lvlJc w:val="left"/>
      <w:pPr>
        <w:tabs>
          <w:tab w:val="num" w:pos="1872"/>
        </w:tabs>
        <w:ind w:left="2088" w:hanging="216"/>
      </w:pPr>
      <w:rPr>
        <w:rFonts w:hint="default"/>
      </w:rPr>
    </w:lvl>
    <w:lvl w:ilvl="7">
      <w:start w:val="1"/>
      <w:numFmt w:val="decimal"/>
      <w:lvlText w:val="%1.%2.%3.%4.%5.%6.%7.%8."/>
      <w:lvlJc w:val="left"/>
      <w:pPr>
        <w:tabs>
          <w:tab w:val="num" w:pos="2088"/>
        </w:tabs>
        <w:ind w:left="2304" w:hanging="216"/>
      </w:pPr>
      <w:rPr>
        <w:rFonts w:hint="default"/>
      </w:rPr>
    </w:lvl>
    <w:lvl w:ilvl="8">
      <w:start w:val="1"/>
      <w:numFmt w:val="decimal"/>
      <w:lvlText w:val="%1.%2.%3.%4.%5.%6.%7.%8.%9."/>
      <w:lvlJc w:val="left"/>
      <w:pPr>
        <w:tabs>
          <w:tab w:val="num" w:pos="2304"/>
        </w:tabs>
        <w:ind w:left="2520" w:hanging="216"/>
      </w:pPr>
      <w:rPr>
        <w:rFonts w:hint="default"/>
      </w:rPr>
    </w:lvl>
  </w:abstractNum>
  <w:abstractNum w:abstractNumId="15" w15:restartNumberingAfterBreak="0">
    <w:nsid w:val="15B214F1"/>
    <w:multiLevelType w:val="multilevel"/>
    <w:tmpl w:val="90BC2216"/>
    <w:lvl w:ilvl="0">
      <w:start w:val="1"/>
      <w:numFmt w:val="decimal"/>
      <w:lvlText w:val="%1."/>
      <w:lvlJc w:val="left"/>
      <w:pPr>
        <w:ind w:left="936" w:hanging="360"/>
      </w:pPr>
    </w:lvl>
    <w:lvl w:ilvl="1">
      <w:start w:val="1"/>
      <w:numFmt w:val="decimal"/>
      <w:lvlText w:val="%1.%2."/>
      <w:lvlJc w:val="left"/>
      <w:pPr>
        <w:ind w:left="1368" w:hanging="432"/>
      </w:pPr>
    </w:lvl>
    <w:lvl w:ilvl="2">
      <w:start w:val="1"/>
      <w:numFmt w:val="decimal"/>
      <w:lvlText w:val="%1.%2.%3."/>
      <w:lvlJc w:val="left"/>
      <w:pPr>
        <w:ind w:left="1800" w:hanging="504"/>
      </w:pPr>
    </w:lvl>
    <w:lvl w:ilvl="3">
      <w:start w:val="1"/>
      <w:numFmt w:val="decimal"/>
      <w:lvlText w:val="%1.%2.%3.%4."/>
      <w:lvlJc w:val="left"/>
      <w:pPr>
        <w:ind w:left="2304" w:hanging="648"/>
      </w:pPr>
    </w:lvl>
    <w:lvl w:ilvl="4">
      <w:start w:val="1"/>
      <w:numFmt w:val="decimal"/>
      <w:lvlText w:val="%1.%2.%3.%4.%5."/>
      <w:lvlJc w:val="left"/>
      <w:pPr>
        <w:ind w:left="2808" w:hanging="792"/>
      </w:pPr>
    </w:lvl>
    <w:lvl w:ilvl="5">
      <w:start w:val="1"/>
      <w:numFmt w:val="decimal"/>
      <w:lvlText w:val="%1.%2.%3.%4.%5.%6."/>
      <w:lvlJc w:val="left"/>
      <w:pPr>
        <w:ind w:left="3312" w:hanging="936"/>
      </w:pPr>
    </w:lvl>
    <w:lvl w:ilvl="6">
      <w:start w:val="1"/>
      <w:numFmt w:val="decimal"/>
      <w:lvlText w:val="%1.%2.%3.%4.%5.%6.%7."/>
      <w:lvlJc w:val="left"/>
      <w:pPr>
        <w:ind w:left="3816" w:hanging="1080"/>
      </w:pPr>
    </w:lvl>
    <w:lvl w:ilvl="7">
      <w:start w:val="1"/>
      <w:numFmt w:val="decimal"/>
      <w:lvlText w:val="%1.%2.%3.%4.%5.%6.%7.%8."/>
      <w:lvlJc w:val="left"/>
      <w:pPr>
        <w:ind w:left="4320" w:hanging="1224"/>
      </w:pPr>
    </w:lvl>
    <w:lvl w:ilvl="8">
      <w:start w:val="1"/>
      <w:numFmt w:val="decimal"/>
      <w:lvlText w:val="%1.%2.%3.%4.%5.%6.%7.%8.%9."/>
      <w:lvlJc w:val="left"/>
      <w:pPr>
        <w:ind w:left="4896" w:hanging="1440"/>
      </w:pPr>
    </w:lvl>
  </w:abstractNum>
  <w:abstractNum w:abstractNumId="16" w15:restartNumberingAfterBreak="0">
    <w:nsid w:val="16143243"/>
    <w:multiLevelType w:val="hybridMultilevel"/>
    <w:tmpl w:val="D206B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6795F12"/>
    <w:multiLevelType w:val="hybridMultilevel"/>
    <w:tmpl w:val="1316757E"/>
    <w:lvl w:ilvl="0" w:tplc="04090001">
      <w:start w:val="1"/>
      <w:numFmt w:val="bullet"/>
      <w:lvlText w:val=""/>
      <w:lvlJc w:val="left"/>
      <w:pPr>
        <w:ind w:left="288" w:hanging="360"/>
      </w:pPr>
      <w:rPr>
        <w:rFonts w:ascii="Symbol" w:hAnsi="Symbol" w:hint="default"/>
      </w:rPr>
    </w:lvl>
    <w:lvl w:ilvl="1" w:tplc="04090003" w:tentative="1">
      <w:start w:val="1"/>
      <w:numFmt w:val="bullet"/>
      <w:lvlText w:val="o"/>
      <w:lvlJc w:val="left"/>
      <w:pPr>
        <w:ind w:left="1008" w:hanging="360"/>
      </w:pPr>
      <w:rPr>
        <w:rFonts w:ascii="Courier New" w:hAnsi="Courier New" w:cs="Courier New" w:hint="default"/>
      </w:rPr>
    </w:lvl>
    <w:lvl w:ilvl="2" w:tplc="04090005" w:tentative="1">
      <w:start w:val="1"/>
      <w:numFmt w:val="bullet"/>
      <w:lvlText w:val=""/>
      <w:lvlJc w:val="left"/>
      <w:pPr>
        <w:ind w:left="1728" w:hanging="360"/>
      </w:pPr>
      <w:rPr>
        <w:rFonts w:ascii="Wingdings" w:hAnsi="Wingdings" w:hint="default"/>
      </w:rPr>
    </w:lvl>
    <w:lvl w:ilvl="3" w:tplc="04090001" w:tentative="1">
      <w:start w:val="1"/>
      <w:numFmt w:val="bullet"/>
      <w:lvlText w:val=""/>
      <w:lvlJc w:val="left"/>
      <w:pPr>
        <w:ind w:left="2448" w:hanging="360"/>
      </w:pPr>
      <w:rPr>
        <w:rFonts w:ascii="Symbol" w:hAnsi="Symbol" w:hint="default"/>
      </w:rPr>
    </w:lvl>
    <w:lvl w:ilvl="4" w:tplc="04090003" w:tentative="1">
      <w:start w:val="1"/>
      <w:numFmt w:val="bullet"/>
      <w:lvlText w:val="o"/>
      <w:lvlJc w:val="left"/>
      <w:pPr>
        <w:ind w:left="3168" w:hanging="360"/>
      </w:pPr>
      <w:rPr>
        <w:rFonts w:ascii="Courier New" w:hAnsi="Courier New" w:cs="Courier New" w:hint="default"/>
      </w:rPr>
    </w:lvl>
    <w:lvl w:ilvl="5" w:tplc="04090005" w:tentative="1">
      <w:start w:val="1"/>
      <w:numFmt w:val="bullet"/>
      <w:lvlText w:val=""/>
      <w:lvlJc w:val="left"/>
      <w:pPr>
        <w:ind w:left="3888" w:hanging="360"/>
      </w:pPr>
      <w:rPr>
        <w:rFonts w:ascii="Wingdings" w:hAnsi="Wingdings" w:hint="default"/>
      </w:rPr>
    </w:lvl>
    <w:lvl w:ilvl="6" w:tplc="04090001" w:tentative="1">
      <w:start w:val="1"/>
      <w:numFmt w:val="bullet"/>
      <w:lvlText w:val=""/>
      <w:lvlJc w:val="left"/>
      <w:pPr>
        <w:ind w:left="4608" w:hanging="360"/>
      </w:pPr>
      <w:rPr>
        <w:rFonts w:ascii="Symbol" w:hAnsi="Symbol" w:hint="default"/>
      </w:rPr>
    </w:lvl>
    <w:lvl w:ilvl="7" w:tplc="04090003" w:tentative="1">
      <w:start w:val="1"/>
      <w:numFmt w:val="bullet"/>
      <w:lvlText w:val="o"/>
      <w:lvlJc w:val="left"/>
      <w:pPr>
        <w:ind w:left="5328" w:hanging="360"/>
      </w:pPr>
      <w:rPr>
        <w:rFonts w:ascii="Courier New" w:hAnsi="Courier New" w:cs="Courier New" w:hint="default"/>
      </w:rPr>
    </w:lvl>
    <w:lvl w:ilvl="8" w:tplc="04090005" w:tentative="1">
      <w:start w:val="1"/>
      <w:numFmt w:val="bullet"/>
      <w:lvlText w:val=""/>
      <w:lvlJc w:val="left"/>
      <w:pPr>
        <w:ind w:left="6048" w:hanging="360"/>
      </w:pPr>
      <w:rPr>
        <w:rFonts w:ascii="Wingdings" w:hAnsi="Wingdings" w:hint="default"/>
      </w:rPr>
    </w:lvl>
  </w:abstractNum>
  <w:abstractNum w:abstractNumId="18" w15:restartNumberingAfterBreak="0">
    <w:nsid w:val="2B2D1D65"/>
    <w:multiLevelType w:val="hybridMultilevel"/>
    <w:tmpl w:val="B6D0E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DF60051"/>
    <w:multiLevelType w:val="multilevel"/>
    <w:tmpl w:val="8BEE8C92"/>
    <w:lvl w:ilvl="0">
      <w:start w:val="1"/>
      <w:numFmt w:val="decimal"/>
      <w:lvlText w:val="%1."/>
      <w:lvlJc w:val="left"/>
      <w:pPr>
        <w:tabs>
          <w:tab w:val="num" w:pos="576"/>
        </w:tabs>
        <w:ind w:left="792" w:hanging="216"/>
      </w:pPr>
      <w:rPr>
        <w:rFonts w:ascii="Arial" w:hAnsi="Arial" w:hint="default"/>
        <w:b w:val="0"/>
        <w:i w:val="0"/>
        <w:sz w:val="18"/>
      </w:rPr>
    </w:lvl>
    <w:lvl w:ilvl="1">
      <w:start w:val="1"/>
      <w:numFmt w:val="decimal"/>
      <w:lvlText w:val="%1.%2."/>
      <w:lvlJc w:val="left"/>
      <w:pPr>
        <w:tabs>
          <w:tab w:val="num" w:pos="792"/>
        </w:tabs>
        <w:ind w:left="1008" w:hanging="216"/>
      </w:pPr>
      <w:rPr>
        <w:rFonts w:hint="default"/>
      </w:rPr>
    </w:lvl>
    <w:lvl w:ilvl="2">
      <w:start w:val="1"/>
      <w:numFmt w:val="decimal"/>
      <w:lvlText w:val="%1.%2.%3."/>
      <w:lvlJc w:val="left"/>
      <w:pPr>
        <w:tabs>
          <w:tab w:val="num" w:pos="1008"/>
        </w:tabs>
        <w:ind w:left="1224" w:hanging="216"/>
      </w:pPr>
      <w:rPr>
        <w:rFonts w:hint="default"/>
      </w:rPr>
    </w:lvl>
    <w:lvl w:ilvl="3">
      <w:start w:val="1"/>
      <w:numFmt w:val="decimal"/>
      <w:lvlText w:val="%1.%2.%3.%4."/>
      <w:lvlJc w:val="left"/>
      <w:pPr>
        <w:tabs>
          <w:tab w:val="num" w:pos="1224"/>
        </w:tabs>
        <w:ind w:left="1440" w:hanging="216"/>
      </w:pPr>
      <w:rPr>
        <w:rFonts w:hint="default"/>
      </w:rPr>
    </w:lvl>
    <w:lvl w:ilvl="4">
      <w:start w:val="1"/>
      <w:numFmt w:val="decimal"/>
      <w:lvlText w:val="%1.%2.%3.%4.%5."/>
      <w:lvlJc w:val="left"/>
      <w:pPr>
        <w:tabs>
          <w:tab w:val="num" w:pos="1440"/>
        </w:tabs>
        <w:ind w:left="1656" w:hanging="216"/>
      </w:pPr>
      <w:rPr>
        <w:rFonts w:hint="default"/>
      </w:rPr>
    </w:lvl>
    <w:lvl w:ilvl="5">
      <w:start w:val="1"/>
      <w:numFmt w:val="decimal"/>
      <w:lvlText w:val="%1.%2.%3.%4.%5.%6."/>
      <w:lvlJc w:val="left"/>
      <w:pPr>
        <w:tabs>
          <w:tab w:val="num" w:pos="1656"/>
        </w:tabs>
        <w:ind w:left="1872" w:hanging="216"/>
      </w:pPr>
      <w:rPr>
        <w:rFonts w:hint="default"/>
      </w:rPr>
    </w:lvl>
    <w:lvl w:ilvl="6">
      <w:start w:val="1"/>
      <w:numFmt w:val="decimal"/>
      <w:lvlText w:val="%1.%2.%3.%4.%5.%6.%7."/>
      <w:lvlJc w:val="left"/>
      <w:pPr>
        <w:tabs>
          <w:tab w:val="num" w:pos="1872"/>
        </w:tabs>
        <w:ind w:left="2088" w:hanging="216"/>
      </w:pPr>
      <w:rPr>
        <w:rFonts w:hint="default"/>
      </w:rPr>
    </w:lvl>
    <w:lvl w:ilvl="7">
      <w:start w:val="1"/>
      <w:numFmt w:val="decimal"/>
      <w:lvlText w:val="%1.%2.%3.%4.%5.%6.%7.%8."/>
      <w:lvlJc w:val="left"/>
      <w:pPr>
        <w:tabs>
          <w:tab w:val="num" w:pos="2088"/>
        </w:tabs>
        <w:ind w:left="2304" w:hanging="216"/>
      </w:pPr>
      <w:rPr>
        <w:rFonts w:hint="default"/>
      </w:rPr>
    </w:lvl>
    <w:lvl w:ilvl="8">
      <w:start w:val="1"/>
      <w:numFmt w:val="decimal"/>
      <w:lvlText w:val="%1.%2.%3.%4.%5.%6.%7.%8.%9."/>
      <w:lvlJc w:val="left"/>
      <w:pPr>
        <w:tabs>
          <w:tab w:val="num" w:pos="2304"/>
        </w:tabs>
        <w:ind w:left="2520" w:hanging="216"/>
      </w:pPr>
      <w:rPr>
        <w:rFonts w:hint="default"/>
      </w:rPr>
    </w:lvl>
  </w:abstractNum>
  <w:abstractNum w:abstractNumId="20" w15:restartNumberingAfterBreak="0">
    <w:nsid w:val="2EE53538"/>
    <w:multiLevelType w:val="hybridMultilevel"/>
    <w:tmpl w:val="C068D292"/>
    <w:lvl w:ilvl="0" w:tplc="04090001">
      <w:start w:val="1"/>
      <w:numFmt w:val="bullet"/>
      <w:lvlText w:val=""/>
      <w:lvlJc w:val="left"/>
      <w:pPr>
        <w:ind w:left="288" w:hanging="360"/>
      </w:pPr>
      <w:rPr>
        <w:rFonts w:ascii="Symbol" w:hAnsi="Symbol" w:hint="default"/>
      </w:rPr>
    </w:lvl>
    <w:lvl w:ilvl="1" w:tplc="04090003" w:tentative="1">
      <w:start w:val="1"/>
      <w:numFmt w:val="bullet"/>
      <w:lvlText w:val="o"/>
      <w:lvlJc w:val="left"/>
      <w:pPr>
        <w:ind w:left="1008" w:hanging="360"/>
      </w:pPr>
      <w:rPr>
        <w:rFonts w:ascii="Courier New" w:hAnsi="Courier New" w:cs="Courier New" w:hint="default"/>
      </w:rPr>
    </w:lvl>
    <w:lvl w:ilvl="2" w:tplc="04090005" w:tentative="1">
      <w:start w:val="1"/>
      <w:numFmt w:val="bullet"/>
      <w:lvlText w:val=""/>
      <w:lvlJc w:val="left"/>
      <w:pPr>
        <w:ind w:left="1728" w:hanging="360"/>
      </w:pPr>
      <w:rPr>
        <w:rFonts w:ascii="Wingdings" w:hAnsi="Wingdings" w:hint="default"/>
      </w:rPr>
    </w:lvl>
    <w:lvl w:ilvl="3" w:tplc="04090001" w:tentative="1">
      <w:start w:val="1"/>
      <w:numFmt w:val="bullet"/>
      <w:lvlText w:val=""/>
      <w:lvlJc w:val="left"/>
      <w:pPr>
        <w:ind w:left="2448" w:hanging="360"/>
      </w:pPr>
      <w:rPr>
        <w:rFonts w:ascii="Symbol" w:hAnsi="Symbol" w:hint="default"/>
      </w:rPr>
    </w:lvl>
    <w:lvl w:ilvl="4" w:tplc="04090003" w:tentative="1">
      <w:start w:val="1"/>
      <w:numFmt w:val="bullet"/>
      <w:lvlText w:val="o"/>
      <w:lvlJc w:val="left"/>
      <w:pPr>
        <w:ind w:left="3168" w:hanging="360"/>
      </w:pPr>
      <w:rPr>
        <w:rFonts w:ascii="Courier New" w:hAnsi="Courier New" w:cs="Courier New" w:hint="default"/>
      </w:rPr>
    </w:lvl>
    <w:lvl w:ilvl="5" w:tplc="04090005" w:tentative="1">
      <w:start w:val="1"/>
      <w:numFmt w:val="bullet"/>
      <w:lvlText w:val=""/>
      <w:lvlJc w:val="left"/>
      <w:pPr>
        <w:ind w:left="3888" w:hanging="360"/>
      </w:pPr>
      <w:rPr>
        <w:rFonts w:ascii="Wingdings" w:hAnsi="Wingdings" w:hint="default"/>
      </w:rPr>
    </w:lvl>
    <w:lvl w:ilvl="6" w:tplc="04090001" w:tentative="1">
      <w:start w:val="1"/>
      <w:numFmt w:val="bullet"/>
      <w:lvlText w:val=""/>
      <w:lvlJc w:val="left"/>
      <w:pPr>
        <w:ind w:left="4608" w:hanging="360"/>
      </w:pPr>
      <w:rPr>
        <w:rFonts w:ascii="Symbol" w:hAnsi="Symbol" w:hint="default"/>
      </w:rPr>
    </w:lvl>
    <w:lvl w:ilvl="7" w:tplc="04090003" w:tentative="1">
      <w:start w:val="1"/>
      <w:numFmt w:val="bullet"/>
      <w:lvlText w:val="o"/>
      <w:lvlJc w:val="left"/>
      <w:pPr>
        <w:ind w:left="5328" w:hanging="360"/>
      </w:pPr>
      <w:rPr>
        <w:rFonts w:ascii="Courier New" w:hAnsi="Courier New" w:cs="Courier New" w:hint="default"/>
      </w:rPr>
    </w:lvl>
    <w:lvl w:ilvl="8" w:tplc="04090005" w:tentative="1">
      <w:start w:val="1"/>
      <w:numFmt w:val="bullet"/>
      <w:lvlText w:val=""/>
      <w:lvlJc w:val="left"/>
      <w:pPr>
        <w:ind w:left="6048" w:hanging="360"/>
      </w:pPr>
      <w:rPr>
        <w:rFonts w:ascii="Wingdings" w:hAnsi="Wingdings" w:hint="default"/>
      </w:rPr>
    </w:lvl>
  </w:abstractNum>
  <w:abstractNum w:abstractNumId="21" w15:restartNumberingAfterBreak="0">
    <w:nsid w:val="2FB86225"/>
    <w:multiLevelType w:val="hybridMultilevel"/>
    <w:tmpl w:val="CFE64D3E"/>
    <w:lvl w:ilvl="0" w:tplc="04090001">
      <w:start w:val="1"/>
      <w:numFmt w:val="bullet"/>
      <w:lvlText w:val=""/>
      <w:lvlJc w:val="left"/>
      <w:pPr>
        <w:ind w:left="288" w:hanging="360"/>
      </w:pPr>
      <w:rPr>
        <w:rFonts w:ascii="Symbol" w:hAnsi="Symbol" w:hint="default"/>
      </w:rPr>
    </w:lvl>
    <w:lvl w:ilvl="1" w:tplc="04090003" w:tentative="1">
      <w:start w:val="1"/>
      <w:numFmt w:val="bullet"/>
      <w:lvlText w:val="o"/>
      <w:lvlJc w:val="left"/>
      <w:pPr>
        <w:ind w:left="1008" w:hanging="360"/>
      </w:pPr>
      <w:rPr>
        <w:rFonts w:ascii="Courier New" w:hAnsi="Courier New" w:cs="Courier New" w:hint="default"/>
      </w:rPr>
    </w:lvl>
    <w:lvl w:ilvl="2" w:tplc="04090005" w:tentative="1">
      <w:start w:val="1"/>
      <w:numFmt w:val="bullet"/>
      <w:lvlText w:val=""/>
      <w:lvlJc w:val="left"/>
      <w:pPr>
        <w:ind w:left="1728" w:hanging="360"/>
      </w:pPr>
      <w:rPr>
        <w:rFonts w:ascii="Wingdings" w:hAnsi="Wingdings" w:hint="default"/>
      </w:rPr>
    </w:lvl>
    <w:lvl w:ilvl="3" w:tplc="04090001" w:tentative="1">
      <w:start w:val="1"/>
      <w:numFmt w:val="bullet"/>
      <w:lvlText w:val=""/>
      <w:lvlJc w:val="left"/>
      <w:pPr>
        <w:ind w:left="2448" w:hanging="360"/>
      </w:pPr>
      <w:rPr>
        <w:rFonts w:ascii="Symbol" w:hAnsi="Symbol" w:hint="default"/>
      </w:rPr>
    </w:lvl>
    <w:lvl w:ilvl="4" w:tplc="04090003" w:tentative="1">
      <w:start w:val="1"/>
      <w:numFmt w:val="bullet"/>
      <w:lvlText w:val="o"/>
      <w:lvlJc w:val="left"/>
      <w:pPr>
        <w:ind w:left="3168" w:hanging="360"/>
      </w:pPr>
      <w:rPr>
        <w:rFonts w:ascii="Courier New" w:hAnsi="Courier New" w:cs="Courier New" w:hint="default"/>
      </w:rPr>
    </w:lvl>
    <w:lvl w:ilvl="5" w:tplc="04090005" w:tentative="1">
      <w:start w:val="1"/>
      <w:numFmt w:val="bullet"/>
      <w:lvlText w:val=""/>
      <w:lvlJc w:val="left"/>
      <w:pPr>
        <w:ind w:left="3888" w:hanging="360"/>
      </w:pPr>
      <w:rPr>
        <w:rFonts w:ascii="Wingdings" w:hAnsi="Wingdings" w:hint="default"/>
      </w:rPr>
    </w:lvl>
    <w:lvl w:ilvl="6" w:tplc="04090001" w:tentative="1">
      <w:start w:val="1"/>
      <w:numFmt w:val="bullet"/>
      <w:lvlText w:val=""/>
      <w:lvlJc w:val="left"/>
      <w:pPr>
        <w:ind w:left="4608" w:hanging="360"/>
      </w:pPr>
      <w:rPr>
        <w:rFonts w:ascii="Symbol" w:hAnsi="Symbol" w:hint="default"/>
      </w:rPr>
    </w:lvl>
    <w:lvl w:ilvl="7" w:tplc="04090003" w:tentative="1">
      <w:start w:val="1"/>
      <w:numFmt w:val="bullet"/>
      <w:lvlText w:val="o"/>
      <w:lvlJc w:val="left"/>
      <w:pPr>
        <w:ind w:left="5328" w:hanging="360"/>
      </w:pPr>
      <w:rPr>
        <w:rFonts w:ascii="Courier New" w:hAnsi="Courier New" w:cs="Courier New" w:hint="default"/>
      </w:rPr>
    </w:lvl>
    <w:lvl w:ilvl="8" w:tplc="04090005" w:tentative="1">
      <w:start w:val="1"/>
      <w:numFmt w:val="bullet"/>
      <w:lvlText w:val=""/>
      <w:lvlJc w:val="left"/>
      <w:pPr>
        <w:ind w:left="6048" w:hanging="360"/>
      </w:pPr>
      <w:rPr>
        <w:rFonts w:ascii="Wingdings" w:hAnsi="Wingdings" w:hint="default"/>
      </w:rPr>
    </w:lvl>
  </w:abstractNum>
  <w:abstractNum w:abstractNumId="22" w15:restartNumberingAfterBreak="0">
    <w:nsid w:val="410775EC"/>
    <w:multiLevelType w:val="hybridMultilevel"/>
    <w:tmpl w:val="A644EF7E"/>
    <w:lvl w:ilvl="0" w:tplc="AF0E557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2F4904"/>
    <w:multiLevelType w:val="hybridMultilevel"/>
    <w:tmpl w:val="B86CBF2A"/>
    <w:lvl w:ilvl="0" w:tplc="04090001">
      <w:start w:val="1"/>
      <w:numFmt w:val="bullet"/>
      <w:lvlText w:val=""/>
      <w:lvlJc w:val="left"/>
      <w:pPr>
        <w:ind w:left="288" w:hanging="360"/>
      </w:pPr>
      <w:rPr>
        <w:rFonts w:ascii="Symbol" w:hAnsi="Symbol" w:hint="default"/>
      </w:rPr>
    </w:lvl>
    <w:lvl w:ilvl="1" w:tplc="04090003" w:tentative="1">
      <w:start w:val="1"/>
      <w:numFmt w:val="bullet"/>
      <w:lvlText w:val="o"/>
      <w:lvlJc w:val="left"/>
      <w:pPr>
        <w:ind w:left="1008" w:hanging="360"/>
      </w:pPr>
      <w:rPr>
        <w:rFonts w:ascii="Courier New" w:hAnsi="Courier New" w:cs="Courier New" w:hint="default"/>
      </w:rPr>
    </w:lvl>
    <w:lvl w:ilvl="2" w:tplc="04090005" w:tentative="1">
      <w:start w:val="1"/>
      <w:numFmt w:val="bullet"/>
      <w:lvlText w:val=""/>
      <w:lvlJc w:val="left"/>
      <w:pPr>
        <w:ind w:left="1728" w:hanging="360"/>
      </w:pPr>
      <w:rPr>
        <w:rFonts w:ascii="Wingdings" w:hAnsi="Wingdings" w:hint="default"/>
      </w:rPr>
    </w:lvl>
    <w:lvl w:ilvl="3" w:tplc="04090001" w:tentative="1">
      <w:start w:val="1"/>
      <w:numFmt w:val="bullet"/>
      <w:lvlText w:val=""/>
      <w:lvlJc w:val="left"/>
      <w:pPr>
        <w:ind w:left="2448" w:hanging="360"/>
      </w:pPr>
      <w:rPr>
        <w:rFonts w:ascii="Symbol" w:hAnsi="Symbol" w:hint="default"/>
      </w:rPr>
    </w:lvl>
    <w:lvl w:ilvl="4" w:tplc="04090003" w:tentative="1">
      <w:start w:val="1"/>
      <w:numFmt w:val="bullet"/>
      <w:lvlText w:val="o"/>
      <w:lvlJc w:val="left"/>
      <w:pPr>
        <w:ind w:left="3168" w:hanging="360"/>
      </w:pPr>
      <w:rPr>
        <w:rFonts w:ascii="Courier New" w:hAnsi="Courier New" w:cs="Courier New" w:hint="default"/>
      </w:rPr>
    </w:lvl>
    <w:lvl w:ilvl="5" w:tplc="04090005" w:tentative="1">
      <w:start w:val="1"/>
      <w:numFmt w:val="bullet"/>
      <w:lvlText w:val=""/>
      <w:lvlJc w:val="left"/>
      <w:pPr>
        <w:ind w:left="3888" w:hanging="360"/>
      </w:pPr>
      <w:rPr>
        <w:rFonts w:ascii="Wingdings" w:hAnsi="Wingdings" w:hint="default"/>
      </w:rPr>
    </w:lvl>
    <w:lvl w:ilvl="6" w:tplc="04090001" w:tentative="1">
      <w:start w:val="1"/>
      <w:numFmt w:val="bullet"/>
      <w:lvlText w:val=""/>
      <w:lvlJc w:val="left"/>
      <w:pPr>
        <w:ind w:left="4608" w:hanging="360"/>
      </w:pPr>
      <w:rPr>
        <w:rFonts w:ascii="Symbol" w:hAnsi="Symbol" w:hint="default"/>
      </w:rPr>
    </w:lvl>
    <w:lvl w:ilvl="7" w:tplc="04090003" w:tentative="1">
      <w:start w:val="1"/>
      <w:numFmt w:val="bullet"/>
      <w:lvlText w:val="o"/>
      <w:lvlJc w:val="left"/>
      <w:pPr>
        <w:ind w:left="5328" w:hanging="360"/>
      </w:pPr>
      <w:rPr>
        <w:rFonts w:ascii="Courier New" w:hAnsi="Courier New" w:cs="Courier New" w:hint="default"/>
      </w:rPr>
    </w:lvl>
    <w:lvl w:ilvl="8" w:tplc="04090005" w:tentative="1">
      <w:start w:val="1"/>
      <w:numFmt w:val="bullet"/>
      <w:lvlText w:val=""/>
      <w:lvlJc w:val="left"/>
      <w:pPr>
        <w:ind w:left="6048" w:hanging="360"/>
      </w:pPr>
      <w:rPr>
        <w:rFonts w:ascii="Wingdings" w:hAnsi="Wingdings" w:hint="default"/>
      </w:rPr>
    </w:lvl>
  </w:abstractNum>
  <w:abstractNum w:abstractNumId="24" w15:restartNumberingAfterBreak="0">
    <w:nsid w:val="5692739D"/>
    <w:multiLevelType w:val="multilevel"/>
    <w:tmpl w:val="42982510"/>
    <w:styleLink w:val="OrderedList"/>
    <w:lvl w:ilvl="0">
      <w:start w:val="1"/>
      <w:numFmt w:val="decimal"/>
      <w:isLgl/>
      <w:lvlText w:val="%1."/>
      <w:lvlJc w:val="right"/>
      <w:pPr>
        <w:tabs>
          <w:tab w:val="num" w:pos="720"/>
        </w:tabs>
        <w:ind w:left="720" w:hanging="72"/>
      </w:pPr>
      <w:rPr>
        <w:rFonts w:ascii="Arial" w:hAnsi="Arial"/>
        <w:b w:val="0"/>
        <w:i w:val="0"/>
        <w:sz w:val="18"/>
      </w:rPr>
    </w:lvl>
    <w:lvl w:ilvl="1">
      <w:start w:val="1"/>
      <w:numFmt w:val="decimal"/>
      <w:lvlText w:val="%1.%2."/>
      <w:lvlJc w:val="left"/>
      <w:pPr>
        <w:tabs>
          <w:tab w:val="num" w:pos="792"/>
        </w:tabs>
        <w:ind w:left="792" w:hanging="72"/>
      </w:pPr>
      <w:rPr>
        <w:rFonts w:hint="default"/>
      </w:rPr>
    </w:lvl>
    <w:lvl w:ilvl="2">
      <w:start w:val="1"/>
      <w:numFmt w:val="decimal"/>
      <w:lvlText w:val="%1.%2.%3."/>
      <w:lvlJc w:val="left"/>
      <w:pPr>
        <w:tabs>
          <w:tab w:val="num" w:pos="864"/>
        </w:tabs>
        <w:ind w:left="864" w:hanging="72"/>
      </w:pPr>
      <w:rPr>
        <w:rFonts w:hint="default"/>
      </w:rPr>
    </w:lvl>
    <w:lvl w:ilvl="3">
      <w:start w:val="1"/>
      <w:numFmt w:val="decimal"/>
      <w:lvlText w:val="%1.%2.%3.%4."/>
      <w:lvlJc w:val="left"/>
      <w:pPr>
        <w:tabs>
          <w:tab w:val="num" w:pos="936"/>
        </w:tabs>
        <w:ind w:left="936" w:hanging="72"/>
      </w:pPr>
      <w:rPr>
        <w:rFonts w:hint="default"/>
      </w:rPr>
    </w:lvl>
    <w:lvl w:ilvl="4">
      <w:start w:val="1"/>
      <w:numFmt w:val="decimal"/>
      <w:lvlText w:val="%1.%2.%3.%4.%5."/>
      <w:lvlJc w:val="left"/>
      <w:pPr>
        <w:tabs>
          <w:tab w:val="num" w:pos="1008"/>
        </w:tabs>
        <w:ind w:left="1008" w:hanging="72"/>
      </w:pPr>
      <w:rPr>
        <w:rFonts w:hint="default"/>
      </w:rPr>
    </w:lvl>
    <w:lvl w:ilvl="5">
      <w:start w:val="1"/>
      <w:numFmt w:val="decimal"/>
      <w:lvlText w:val="%1.%2.%3.%4.%5.%6."/>
      <w:lvlJc w:val="left"/>
      <w:pPr>
        <w:tabs>
          <w:tab w:val="num" w:pos="1080"/>
        </w:tabs>
        <w:ind w:left="1080" w:hanging="72"/>
      </w:pPr>
      <w:rPr>
        <w:rFonts w:hint="default"/>
      </w:rPr>
    </w:lvl>
    <w:lvl w:ilvl="6">
      <w:start w:val="1"/>
      <w:numFmt w:val="decimal"/>
      <w:lvlText w:val="%1.%2.%3.%4.%5.%6.%7."/>
      <w:lvlJc w:val="left"/>
      <w:pPr>
        <w:tabs>
          <w:tab w:val="num" w:pos="1152"/>
        </w:tabs>
        <w:ind w:left="1152" w:hanging="72"/>
      </w:pPr>
      <w:rPr>
        <w:rFonts w:hint="default"/>
      </w:rPr>
    </w:lvl>
    <w:lvl w:ilvl="7">
      <w:start w:val="1"/>
      <w:numFmt w:val="decimal"/>
      <w:lvlText w:val="%1.%2.%3.%4.%5.%6.%7.%8."/>
      <w:lvlJc w:val="left"/>
      <w:pPr>
        <w:tabs>
          <w:tab w:val="num" w:pos="1224"/>
        </w:tabs>
        <w:ind w:left="1224" w:hanging="72"/>
      </w:pPr>
      <w:rPr>
        <w:rFonts w:hint="default"/>
      </w:rPr>
    </w:lvl>
    <w:lvl w:ilvl="8">
      <w:start w:val="1"/>
      <w:numFmt w:val="decimal"/>
      <w:lvlText w:val="%1.%2.%3.%4.%5.%6.%7.%8.%9."/>
      <w:lvlJc w:val="left"/>
      <w:pPr>
        <w:tabs>
          <w:tab w:val="num" w:pos="1296"/>
        </w:tabs>
        <w:ind w:left="1296" w:hanging="72"/>
      </w:pPr>
      <w:rPr>
        <w:rFonts w:hint="default"/>
      </w:rPr>
    </w:lvl>
  </w:abstractNum>
  <w:abstractNum w:abstractNumId="25" w15:restartNumberingAfterBreak="0">
    <w:nsid w:val="63E04408"/>
    <w:multiLevelType w:val="hybridMultilevel"/>
    <w:tmpl w:val="6E6E0E62"/>
    <w:lvl w:ilvl="0" w:tplc="04090001">
      <w:start w:val="1"/>
      <w:numFmt w:val="bullet"/>
      <w:lvlText w:val=""/>
      <w:lvlJc w:val="left"/>
      <w:pPr>
        <w:ind w:left="288" w:hanging="360"/>
      </w:pPr>
      <w:rPr>
        <w:rFonts w:ascii="Symbol" w:hAnsi="Symbol" w:hint="default"/>
      </w:rPr>
    </w:lvl>
    <w:lvl w:ilvl="1" w:tplc="04090003" w:tentative="1">
      <w:start w:val="1"/>
      <w:numFmt w:val="bullet"/>
      <w:lvlText w:val="o"/>
      <w:lvlJc w:val="left"/>
      <w:pPr>
        <w:ind w:left="1008" w:hanging="360"/>
      </w:pPr>
      <w:rPr>
        <w:rFonts w:ascii="Courier New" w:hAnsi="Courier New" w:cs="Courier New" w:hint="default"/>
      </w:rPr>
    </w:lvl>
    <w:lvl w:ilvl="2" w:tplc="04090005" w:tentative="1">
      <w:start w:val="1"/>
      <w:numFmt w:val="bullet"/>
      <w:lvlText w:val=""/>
      <w:lvlJc w:val="left"/>
      <w:pPr>
        <w:ind w:left="1728" w:hanging="360"/>
      </w:pPr>
      <w:rPr>
        <w:rFonts w:ascii="Wingdings" w:hAnsi="Wingdings" w:hint="default"/>
      </w:rPr>
    </w:lvl>
    <w:lvl w:ilvl="3" w:tplc="04090001" w:tentative="1">
      <w:start w:val="1"/>
      <w:numFmt w:val="bullet"/>
      <w:lvlText w:val=""/>
      <w:lvlJc w:val="left"/>
      <w:pPr>
        <w:ind w:left="2448" w:hanging="360"/>
      </w:pPr>
      <w:rPr>
        <w:rFonts w:ascii="Symbol" w:hAnsi="Symbol" w:hint="default"/>
      </w:rPr>
    </w:lvl>
    <w:lvl w:ilvl="4" w:tplc="04090003" w:tentative="1">
      <w:start w:val="1"/>
      <w:numFmt w:val="bullet"/>
      <w:lvlText w:val="o"/>
      <w:lvlJc w:val="left"/>
      <w:pPr>
        <w:ind w:left="3168" w:hanging="360"/>
      </w:pPr>
      <w:rPr>
        <w:rFonts w:ascii="Courier New" w:hAnsi="Courier New" w:cs="Courier New" w:hint="default"/>
      </w:rPr>
    </w:lvl>
    <w:lvl w:ilvl="5" w:tplc="04090005" w:tentative="1">
      <w:start w:val="1"/>
      <w:numFmt w:val="bullet"/>
      <w:lvlText w:val=""/>
      <w:lvlJc w:val="left"/>
      <w:pPr>
        <w:ind w:left="3888" w:hanging="360"/>
      </w:pPr>
      <w:rPr>
        <w:rFonts w:ascii="Wingdings" w:hAnsi="Wingdings" w:hint="default"/>
      </w:rPr>
    </w:lvl>
    <w:lvl w:ilvl="6" w:tplc="04090001" w:tentative="1">
      <w:start w:val="1"/>
      <w:numFmt w:val="bullet"/>
      <w:lvlText w:val=""/>
      <w:lvlJc w:val="left"/>
      <w:pPr>
        <w:ind w:left="4608" w:hanging="360"/>
      </w:pPr>
      <w:rPr>
        <w:rFonts w:ascii="Symbol" w:hAnsi="Symbol" w:hint="default"/>
      </w:rPr>
    </w:lvl>
    <w:lvl w:ilvl="7" w:tplc="04090003" w:tentative="1">
      <w:start w:val="1"/>
      <w:numFmt w:val="bullet"/>
      <w:lvlText w:val="o"/>
      <w:lvlJc w:val="left"/>
      <w:pPr>
        <w:ind w:left="5328" w:hanging="360"/>
      </w:pPr>
      <w:rPr>
        <w:rFonts w:ascii="Courier New" w:hAnsi="Courier New" w:cs="Courier New" w:hint="default"/>
      </w:rPr>
    </w:lvl>
    <w:lvl w:ilvl="8" w:tplc="04090005" w:tentative="1">
      <w:start w:val="1"/>
      <w:numFmt w:val="bullet"/>
      <w:lvlText w:val=""/>
      <w:lvlJc w:val="left"/>
      <w:pPr>
        <w:ind w:left="6048" w:hanging="360"/>
      </w:pPr>
      <w:rPr>
        <w:rFonts w:ascii="Wingdings" w:hAnsi="Wingdings" w:hint="default"/>
      </w:rPr>
    </w:lvl>
  </w:abstractNum>
  <w:abstractNum w:abstractNumId="26" w15:restartNumberingAfterBreak="0">
    <w:nsid w:val="70071A28"/>
    <w:multiLevelType w:val="multilevel"/>
    <w:tmpl w:val="4D4484EE"/>
    <w:lvl w:ilvl="0">
      <w:start w:val="1"/>
      <w:numFmt w:val="decimal"/>
      <w:lvlText w:val="%1."/>
      <w:lvlJc w:val="left"/>
      <w:pPr>
        <w:ind w:left="936" w:firstLine="0"/>
      </w:pPr>
      <w:rPr>
        <w:rFonts w:hint="default"/>
      </w:rPr>
    </w:lvl>
    <w:lvl w:ilvl="1">
      <w:start w:val="1"/>
      <w:numFmt w:val="decimal"/>
      <w:lvlText w:val="%1.%2."/>
      <w:lvlJc w:val="left"/>
      <w:pPr>
        <w:ind w:left="1368" w:hanging="432"/>
      </w:pPr>
      <w:rPr>
        <w:rFonts w:hint="default"/>
      </w:rPr>
    </w:lvl>
    <w:lvl w:ilvl="2">
      <w:start w:val="1"/>
      <w:numFmt w:val="decimal"/>
      <w:lvlText w:val="%1.%2.%3."/>
      <w:lvlJc w:val="left"/>
      <w:pPr>
        <w:ind w:left="1800" w:hanging="504"/>
      </w:pPr>
      <w:rPr>
        <w:rFonts w:hint="default"/>
      </w:rPr>
    </w:lvl>
    <w:lvl w:ilvl="3">
      <w:start w:val="1"/>
      <w:numFmt w:val="decimal"/>
      <w:lvlText w:val="%1.%2.%3.%4."/>
      <w:lvlJc w:val="left"/>
      <w:pPr>
        <w:ind w:left="2304" w:hanging="648"/>
      </w:pPr>
      <w:rPr>
        <w:rFonts w:hint="default"/>
      </w:rPr>
    </w:lvl>
    <w:lvl w:ilvl="4">
      <w:start w:val="1"/>
      <w:numFmt w:val="decimal"/>
      <w:lvlText w:val="%1.%2.%3.%4.%5."/>
      <w:lvlJc w:val="left"/>
      <w:pPr>
        <w:ind w:left="2808" w:hanging="792"/>
      </w:pPr>
      <w:rPr>
        <w:rFonts w:hint="default"/>
      </w:rPr>
    </w:lvl>
    <w:lvl w:ilvl="5">
      <w:start w:val="1"/>
      <w:numFmt w:val="decimal"/>
      <w:lvlText w:val="%1.%2.%3.%4.%5.%6."/>
      <w:lvlJc w:val="left"/>
      <w:pPr>
        <w:ind w:left="3312" w:hanging="936"/>
      </w:pPr>
      <w:rPr>
        <w:rFonts w:hint="default"/>
      </w:rPr>
    </w:lvl>
    <w:lvl w:ilvl="6">
      <w:start w:val="1"/>
      <w:numFmt w:val="decimal"/>
      <w:lvlText w:val="%1.%2.%3.%4.%5.%6.%7."/>
      <w:lvlJc w:val="left"/>
      <w:pPr>
        <w:ind w:left="3816" w:hanging="1080"/>
      </w:pPr>
      <w:rPr>
        <w:rFonts w:hint="default"/>
      </w:rPr>
    </w:lvl>
    <w:lvl w:ilvl="7">
      <w:start w:val="1"/>
      <w:numFmt w:val="decimal"/>
      <w:lvlText w:val="%1.%2.%3.%4.%5.%6.%7.%8."/>
      <w:lvlJc w:val="left"/>
      <w:pPr>
        <w:ind w:left="4320" w:hanging="1224"/>
      </w:pPr>
      <w:rPr>
        <w:rFonts w:hint="default"/>
      </w:rPr>
    </w:lvl>
    <w:lvl w:ilvl="8">
      <w:start w:val="1"/>
      <w:numFmt w:val="decimal"/>
      <w:lvlText w:val="%1.%2.%3.%4.%5.%6.%7.%8.%9."/>
      <w:lvlJc w:val="left"/>
      <w:pPr>
        <w:ind w:left="4896" w:hanging="1440"/>
      </w:pPr>
      <w:rPr>
        <w:rFonts w:hint="default"/>
      </w:rPr>
    </w:lvl>
  </w:abstractNum>
  <w:abstractNum w:abstractNumId="27" w15:restartNumberingAfterBreak="0">
    <w:nsid w:val="71A46FAA"/>
    <w:multiLevelType w:val="hybridMultilevel"/>
    <w:tmpl w:val="CB367202"/>
    <w:lvl w:ilvl="0" w:tplc="43AA5D8E">
      <w:start w:val="1"/>
      <w:numFmt w:val="decimal"/>
      <w:pStyle w:val="ListParagraph"/>
      <w:lvlText w:val="(%1)"/>
      <w:lvlJc w:val="left"/>
      <w:pPr>
        <w:ind w:left="360" w:hanging="360"/>
      </w:pPr>
      <w:rPr>
        <w:rFonts w:hint="default"/>
        <w:sz w:val="1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77B76A74"/>
    <w:multiLevelType w:val="hybridMultilevel"/>
    <w:tmpl w:val="D840A93C"/>
    <w:lvl w:ilvl="0" w:tplc="0409000F">
      <w:start w:val="1"/>
      <w:numFmt w:val="decimal"/>
      <w:lvlText w:val="%1."/>
      <w:lvlJc w:val="left"/>
      <w:pPr>
        <w:ind w:left="720" w:hanging="360"/>
      </w:pPr>
    </w:lvl>
    <w:lvl w:ilvl="1" w:tplc="025CCDE0">
      <w:start w:val="9"/>
      <w:numFmt w:val="bullet"/>
      <w:lvlText w:val="-"/>
      <w:lvlJc w:val="left"/>
      <w:pPr>
        <w:ind w:left="1440" w:hanging="360"/>
      </w:pPr>
      <w:rPr>
        <w:rFonts w:ascii="Arial" w:eastAsia="Times New Roman" w:hAnsi="Arial" w:cs="Aria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F792A57"/>
    <w:multiLevelType w:val="hybridMultilevel"/>
    <w:tmpl w:val="1EE82858"/>
    <w:lvl w:ilvl="0" w:tplc="04090001">
      <w:start w:val="1"/>
      <w:numFmt w:val="bullet"/>
      <w:lvlText w:val=""/>
      <w:lvlJc w:val="left"/>
      <w:pPr>
        <w:ind w:left="288" w:hanging="360"/>
      </w:pPr>
      <w:rPr>
        <w:rFonts w:ascii="Symbol" w:hAnsi="Symbol" w:hint="default"/>
      </w:rPr>
    </w:lvl>
    <w:lvl w:ilvl="1" w:tplc="04090003" w:tentative="1">
      <w:start w:val="1"/>
      <w:numFmt w:val="bullet"/>
      <w:lvlText w:val="o"/>
      <w:lvlJc w:val="left"/>
      <w:pPr>
        <w:ind w:left="1008" w:hanging="360"/>
      </w:pPr>
      <w:rPr>
        <w:rFonts w:ascii="Courier New" w:hAnsi="Courier New" w:cs="Courier New" w:hint="default"/>
      </w:rPr>
    </w:lvl>
    <w:lvl w:ilvl="2" w:tplc="04090005" w:tentative="1">
      <w:start w:val="1"/>
      <w:numFmt w:val="bullet"/>
      <w:lvlText w:val=""/>
      <w:lvlJc w:val="left"/>
      <w:pPr>
        <w:ind w:left="1728" w:hanging="360"/>
      </w:pPr>
      <w:rPr>
        <w:rFonts w:ascii="Wingdings" w:hAnsi="Wingdings" w:hint="default"/>
      </w:rPr>
    </w:lvl>
    <w:lvl w:ilvl="3" w:tplc="04090001" w:tentative="1">
      <w:start w:val="1"/>
      <w:numFmt w:val="bullet"/>
      <w:lvlText w:val=""/>
      <w:lvlJc w:val="left"/>
      <w:pPr>
        <w:ind w:left="2448" w:hanging="360"/>
      </w:pPr>
      <w:rPr>
        <w:rFonts w:ascii="Symbol" w:hAnsi="Symbol" w:hint="default"/>
      </w:rPr>
    </w:lvl>
    <w:lvl w:ilvl="4" w:tplc="04090003" w:tentative="1">
      <w:start w:val="1"/>
      <w:numFmt w:val="bullet"/>
      <w:lvlText w:val="o"/>
      <w:lvlJc w:val="left"/>
      <w:pPr>
        <w:ind w:left="3168" w:hanging="360"/>
      </w:pPr>
      <w:rPr>
        <w:rFonts w:ascii="Courier New" w:hAnsi="Courier New" w:cs="Courier New" w:hint="default"/>
      </w:rPr>
    </w:lvl>
    <w:lvl w:ilvl="5" w:tplc="04090005" w:tentative="1">
      <w:start w:val="1"/>
      <w:numFmt w:val="bullet"/>
      <w:lvlText w:val=""/>
      <w:lvlJc w:val="left"/>
      <w:pPr>
        <w:ind w:left="3888" w:hanging="360"/>
      </w:pPr>
      <w:rPr>
        <w:rFonts w:ascii="Wingdings" w:hAnsi="Wingdings" w:hint="default"/>
      </w:rPr>
    </w:lvl>
    <w:lvl w:ilvl="6" w:tplc="04090001" w:tentative="1">
      <w:start w:val="1"/>
      <w:numFmt w:val="bullet"/>
      <w:lvlText w:val=""/>
      <w:lvlJc w:val="left"/>
      <w:pPr>
        <w:ind w:left="4608" w:hanging="360"/>
      </w:pPr>
      <w:rPr>
        <w:rFonts w:ascii="Symbol" w:hAnsi="Symbol" w:hint="default"/>
      </w:rPr>
    </w:lvl>
    <w:lvl w:ilvl="7" w:tplc="04090003" w:tentative="1">
      <w:start w:val="1"/>
      <w:numFmt w:val="bullet"/>
      <w:lvlText w:val="o"/>
      <w:lvlJc w:val="left"/>
      <w:pPr>
        <w:ind w:left="5328" w:hanging="360"/>
      </w:pPr>
      <w:rPr>
        <w:rFonts w:ascii="Courier New" w:hAnsi="Courier New" w:cs="Courier New" w:hint="default"/>
      </w:rPr>
    </w:lvl>
    <w:lvl w:ilvl="8" w:tplc="04090005" w:tentative="1">
      <w:start w:val="1"/>
      <w:numFmt w:val="bullet"/>
      <w:lvlText w:val=""/>
      <w:lvlJc w:val="left"/>
      <w:pPr>
        <w:ind w:left="6048" w:hanging="360"/>
      </w:pPr>
      <w:rPr>
        <w:rFonts w:ascii="Wingdings" w:hAnsi="Wingdings" w:hint="default"/>
      </w:rPr>
    </w:lvl>
  </w:abstractNum>
  <w:abstractNum w:abstractNumId="30" w15:restartNumberingAfterBreak="0">
    <w:nsid w:val="7F9C5DC8"/>
    <w:multiLevelType w:val="hybridMultilevel"/>
    <w:tmpl w:val="27904D16"/>
    <w:lvl w:ilvl="0" w:tplc="04090001">
      <w:start w:val="1"/>
      <w:numFmt w:val="bullet"/>
      <w:lvlText w:val=""/>
      <w:lvlJc w:val="left"/>
      <w:pPr>
        <w:ind w:left="288" w:hanging="360"/>
      </w:pPr>
      <w:rPr>
        <w:rFonts w:ascii="Symbol" w:hAnsi="Symbol" w:hint="default"/>
      </w:rPr>
    </w:lvl>
    <w:lvl w:ilvl="1" w:tplc="04090003" w:tentative="1">
      <w:start w:val="1"/>
      <w:numFmt w:val="bullet"/>
      <w:lvlText w:val="o"/>
      <w:lvlJc w:val="left"/>
      <w:pPr>
        <w:ind w:left="1008" w:hanging="360"/>
      </w:pPr>
      <w:rPr>
        <w:rFonts w:ascii="Courier New" w:hAnsi="Courier New" w:cs="Courier New" w:hint="default"/>
      </w:rPr>
    </w:lvl>
    <w:lvl w:ilvl="2" w:tplc="04090005" w:tentative="1">
      <w:start w:val="1"/>
      <w:numFmt w:val="bullet"/>
      <w:lvlText w:val=""/>
      <w:lvlJc w:val="left"/>
      <w:pPr>
        <w:ind w:left="1728" w:hanging="360"/>
      </w:pPr>
      <w:rPr>
        <w:rFonts w:ascii="Wingdings" w:hAnsi="Wingdings" w:hint="default"/>
      </w:rPr>
    </w:lvl>
    <w:lvl w:ilvl="3" w:tplc="04090001" w:tentative="1">
      <w:start w:val="1"/>
      <w:numFmt w:val="bullet"/>
      <w:lvlText w:val=""/>
      <w:lvlJc w:val="left"/>
      <w:pPr>
        <w:ind w:left="2448" w:hanging="360"/>
      </w:pPr>
      <w:rPr>
        <w:rFonts w:ascii="Symbol" w:hAnsi="Symbol" w:hint="default"/>
      </w:rPr>
    </w:lvl>
    <w:lvl w:ilvl="4" w:tplc="04090003" w:tentative="1">
      <w:start w:val="1"/>
      <w:numFmt w:val="bullet"/>
      <w:lvlText w:val="o"/>
      <w:lvlJc w:val="left"/>
      <w:pPr>
        <w:ind w:left="3168" w:hanging="360"/>
      </w:pPr>
      <w:rPr>
        <w:rFonts w:ascii="Courier New" w:hAnsi="Courier New" w:cs="Courier New" w:hint="default"/>
      </w:rPr>
    </w:lvl>
    <w:lvl w:ilvl="5" w:tplc="04090005" w:tentative="1">
      <w:start w:val="1"/>
      <w:numFmt w:val="bullet"/>
      <w:lvlText w:val=""/>
      <w:lvlJc w:val="left"/>
      <w:pPr>
        <w:ind w:left="3888" w:hanging="360"/>
      </w:pPr>
      <w:rPr>
        <w:rFonts w:ascii="Wingdings" w:hAnsi="Wingdings" w:hint="default"/>
      </w:rPr>
    </w:lvl>
    <w:lvl w:ilvl="6" w:tplc="04090001" w:tentative="1">
      <w:start w:val="1"/>
      <w:numFmt w:val="bullet"/>
      <w:lvlText w:val=""/>
      <w:lvlJc w:val="left"/>
      <w:pPr>
        <w:ind w:left="4608" w:hanging="360"/>
      </w:pPr>
      <w:rPr>
        <w:rFonts w:ascii="Symbol" w:hAnsi="Symbol" w:hint="default"/>
      </w:rPr>
    </w:lvl>
    <w:lvl w:ilvl="7" w:tplc="04090003" w:tentative="1">
      <w:start w:val="1"/>
      <w:numFmt w:val="bullet"/>
      <w:lvlText w:val="o"/>
      <w:lvlJc w:val="left"/>
      <w:pPr>
        <w:ind w:left="5328" w:hanging="360"/>
      </w:pPr>
      <w:rPr>
        <w:rFonts w:ascii="Courier New" w:hAnsi="Courier New" w:cs="Courier New" w:hint="default"/>
      </w:rPr>
    </w:lvl>
    <w:lvl w:ilvl="8" w:tplc="04090005" w:tentative="1">
      <w:start w:val="1"/>
      <w:numFmt w:val="bullet"/>
      <w:lvlText w:val=""/>
      <w:lvlJc w:val="left"/>
      <w:pPr>
        <w:ind w:left="6048" w:hanging="360"/>
      </w:pPr>
      <w:rPr>
        <w:rFonts w:ascii="Wingdings" w:hAnsi="Wingdings" w:hint="default"/>
      </w:rPr>
    </w:lvl>
  </w:abstractNum>
  <w:num w:numId="1" w16cid:durableId="615257573">
    <w:abstractNumId w:val="9"/>
  </w:num>
  <w:num w:numId="2" w16cid:durableId="1783836081">
    <w:abstractNumId w:val="8"/>
  </w:num>
  <w:num w:numId="3" w16cid:durableId="655033043">
    <w:abstractNumId w:val="7"/>
  </w:num>
  <w:num w:numId="4" w16cid:durableId="1967663001">
    <w:abstractNumId w:val="6"/>
  </w:num>
  <w:num w:numId="5" w16cid:durableId="1581913085">
    <w:abstractNumId w:val="5"/>
  </w:num>
  <w:num w:numId="6" w16cid:durableId="230969140">
    <w:abstractNumId w:val="4"/>
  </w:num>
  <w:num w:numId="7" w16cid:durableId="1841696173">
    <w:abstractNumId w:val="3"/>
  </w:num>
  <w:num w:numId="8" w16cid:durableId="2116515290">
    <w:abstractNumId w:val="2"/>
  </w:num>
  <w:num w:numId="9" w16cid:durableId="1781990278">
    <w:abstractNumId w:val="1"/>
  </w:num>
  <w:num w:numId="10" w16cid:durableId="517038914">
    <w:abstractNumId w:val="0"/>
  </w:num>
  <w:num w:numId="11" w16cid:durableId="227039787">
    <w:abstractNumId w:val="28"/>
  </w:num>
  <w:num w:numId="12" w16cid:durableId="735863221">
    <w:abstractNumId w:val="12"/>
  </w:num>
  <w:num w:numId="13" w16cid:durableId="350490718">
    <w:abstractNumId w:val="27"/>
  </w:num>
  <w:num w:numId="14" w16cid:durableId="356932814">
    <w:abstractNumId w:val="15"/>
  </w:num>
  <w:num w:numId="15" w16cid:durableId="1564222312">
    <w:abstractNumId w:val="26"/>
  </w:num>
  <w:num w:numId="16" w16cid:durableId="1652716328">
    <w:abstractNumId w:val="19"/>
  </w:num>
  <w:num w:numId="17" w16cid:durableId="601230710">
    <w:abstractNumId w:val="14"/>
  </w:num>
  <w:num w:numId="18" w16cid:durableId="317614102">
    <w:abstractNumId w:val="24"/>
  </w:num>
  <w:num w:numId="19" w16cid:durableId="486285884">
    <w:abstractNumId w:val="21"/>
  </w:num>
  <w:num w:numId="20" w16cid:durableId="1603686623">
    <w:abstractNumId w:val="17"/>
  </w:num>
  <w:num w:numId="21" w16cid:durableId="717707514">
    <w:abstractNumId w:val="18"/>
  </w:num>
  <w:num w:numId="22" w16cid:durableId="746925428">
    <w:abstractNumId w:val="20"/>
  </w:num>
  <w:num w:numId="23" w16cid:durableId="800533921">
    <w:abstractNumId w:val="25"/>
  </w:num>
  <w:num w:numId="24" w16cid:durableId="1057390114">
    <w:abstractNumId w:val="29"/>
  </w:num>
  <w:num w:numId="25" w16cid:durableId="1015303315">
    <w:abstractNumId w:val="30"/>
  </w:num>
  <w:num w:numId="26" w16cid:durableId="844125280">
    <w:abstractNumId w:val="10"/>
  </w:num>
  <w:num w:numId="27" w16cid:durableId="118113741">
    <w:abstractNumId w:val="16"/>
  </w:num>
  <w:num w:numId="28" w16cid:durableId="516695072">
    <w:abstractNumId w:val="22"/>
  </w:num>
  <w:num w:numId="29" w16cid:durableId="1578516320">
    <w:abstractNumId w:val="13"/>
  </w:num>
  <w:num w:numId="30" w16cid:durableId="274214229">
    <w:abstractNumId w:val="23"/>
  </w:num>
  <w:num w:numId="31" w16cid:durableId="42908715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attachedTemplate r:id="rId1"/>
  <w:linkStyle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88"/>
  <w:drawingGridHorizontalSpacing w:val="100"/>
  <w:displayHorizontalDrawingGridEvery w:val="2"/>
  <w:noPunctuationKerning/>
  <w:characterSpacingControl w:val="doNotCompress"/>
  <w:hdrShapeDefaults>
    <o:shapedefaults v:ext="edit" spidmax="2050">
      <o:colormru v:ext="edit" colors="#969696,#5f5f5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iFrmCustomFindOpen" w:val="1"/>
  </w:docVars>
  <w:rsids>
    <w:rsidRoot w:val="00631DFD"/>
    <w:rsid w:val="00000144"/>
    <w:rsid w:val="000009B0"/>
    <w:rsid w:val="00000B26"/>
    <w:rsid w:val="00000B82"/>
    <w:rsid w:val="0000143E"/>
    <w:rsid w:val="00001470"/>
    <w:rsid w:val="000016AF"/>
    <w:rsid w:val="000019C9"/>
    <w:rsid w:val="000023CA"/>
    <w:rsid w:val="00002A4F"/>
    <w:rsid w:val="0000311B"/>
    <w:rsid w:val="00003778"/>
    <w:rsid w:val="00003DB0"/>
    <w:rsid w:val="00003EE5"/>
    <w:rsid w:val="000041E9"/>
    <w:rsid w:val="00004D70"/>
    <w:rsid w:val="00005AEC"/>
    <w:rsid w:val="00005AFE"/>
    <w:rsid w:val="00005B9A"/>
    <w:rsid w:val="00005F19"/>
    <w:rsid w:val="0000684D"/>
    <w:rsid w:val="000100D1"/>
    <w:rsid w:val="00010352"/>
    <w:rsid w:val="00010FEF"/>
    <w:rsid w:val="000113F1"/>
    <w:rsid w:val="00011686"/>
    <w:rsid w:val="00011FBD"/>
    <w:rsid w:val="0001247A"/>
    <w:rsid w:val="000124D6"/>
    <w:rsid w:val="000131CE"/>
    <w:rsid w:val="00013AED"/>
    <w:rsid w:val="00013B01"/>
    <w:rsid w:val="00013B8F"/>
    <w:rsid w:val="00014A0D"/>
    <w:rsid w:val="00014E86"/>
    <w:rsid w:val="00015291"/>
    <w:rsid w:val="00015612"/>
    <w:rsid w:val="000159F7"/>
    <w:rsid w:val="00016129"/>
    <w:rsid w:val="00016621"/>
    <w:rsid w:val="000167D7"/>
    <w:rsid w:val="0001686F"/>
    <w:rsid w:val="00016C06"/>
    <w:rsid w:val="0001752A"/>
    <w:rsid w:val="00017966"/>
    <w:rsid w:val="000207E4"/>
    <w:rsid w:val="00020AE2"/>
    <w:rsid w:val="00020C32"/>
    <w:rsid w:val="00020F61"/>
    <w:rsid w:val="00021092"/>
    <w:rsid w:val="0002109D"/>
    <w:rsid w:val="000214A8"/>
    <w:rsid w:val="00021AC8"/>
    <w:rsid w:val="00021AD5"/>
    <w:rsid w:val="00021FA4"/>
    <w:rsid w:val="0002213A"/>
    <w:rsid w:val="000222ED"/>
    <w:rsid w:val="0002275A"/>
    <w:rsid w:val="00022EBC"/>
    <w:rsid w:val="00023CF6"/>
    <w:rsid w:val="00024519"/>
    <w:rsid w:val="00024C8B"/>
    <w:rsid w:val="00025172"/>
    <w:rsid w:val="00025322"/>
    <w:rsid w:val="00025E7F"/>
    <w:rsid w:val="000266B5"/>
    <w:rsid w:val="00030747"/>
    <w:rsid w:val="00030CCE"/>
    <w:rsid w:val="000313E2"/>
    <w:rsid w:val="000327B2"/>
    <w:rsid w:val="00032A29"/>
    <w:rsid w:val="00033082"/>
    <w:rsid w:val="00033716"/>
    <w:rsid w:val="0003383E"/>
    <w:rsid w:val="00034AF4"/>
    <w:rsid w:val="00034D1D"/>
    <w:rsid w:val="00034E82"/>
    <w:rsid w:val="000355C4"/>
    <w:rsid w:val="0003594D"/>
    <w:rsid w:val="00035B34"/>
    <w:rsid w:val="00035E72"/>
    <w:rsid w:val="00035F10"/>
    <w:rsid w:val="000400B7"/>
    <w:rsid w:val="00040333"/>
    <w:rsid w:val="000405A5"/>
    <w:rsid w:val="00040BBF"/>
    <w:rsid w:val="000412F7"/>
    <w:rsid w:val="00041842"/>
    <w:rsid w:val="00041BBB"/>
    <w:rsid w:val="00041C3D"/>
    <w:rsid w:val="00042709"/>
    <w:rsid w:val="00043174"/>
    <w:rsid w:val="000433A5"/>
    <w:rsid w:val="000436C2"/>
    <w:rsid w:val="000438D5"/>
    <w:rsid w:val="00043A50"/>
    <w:rsid w:val="00043D9A"/>
    <w:rsid w:val="000459DD"/>
    <w:rsid w:val="00045B77"/>
    <w:rsid w:val="00045C08"/>
    <w:rsid w:val="00045E06"/>
    <w:rsid w:val="00046450"/>
    <w:rsid w:val="00046A11"/>
    <w:rsid w:val="00047260"/>
    <w:rsid w:val="000478F5"/>
    <w:rsid w:val="00047AB8"/>
    <w:rsid w:val="00047D63"/>
    <w:rsid w:val="00047E0B"/>
    <w:rsid w:val="000502E7"/>
    <w:rsid w:val="00050D04"/>
    <w:rsid w:val="00051CF6"/>
    <w:rsid w:val="0005206F"/>
    <w:rsid w:val="00052448"/>
    <w:rsid w:val="00052923"/>
    <w:rsid w:val="00052A5F"/>
    <w:rsid w:val="00052D9D"/>
    <w:rsid w:val="00052EAE"/>
    <w:rsid w:val="00053252"/>
    <w:rsid w:val="000537E5"/>
    <w:rsid w:val="000538C7"/>
    <w:rsid w:val="000547B1"/>
    <w:rsid w:val="000547DB"/>
    <w:rsid w:val="00056062"/>
    <w:rsid w:val="000561DF"/>
    <w:rsid w:val="00056628"/>
    <w:rsid w:val="00056E0C"/>
    <w:rsid w:val="0005701A"/>
    <w:rsid w:val="00057E85"/>
    <w:rsid w:val="00057F15"/>
    <w:rsid w:val="0006015F"/>
    <w:rsid w:val="0006025C"/>
    <w:rsid w:val="000602AB"/>
    <w:rsid w:val="00060505"/>
    <w:rsid w:val="00060585"/>
    <w:rsid w:val="00060B54"/>
    <w:rsid w:val="00061D42"/>
    <w:rsid w:val="00062D2C"/>
    <w:rsid w:val="00062D7F"/>
    <w:rsid w:val="00063437"/>
    <w:rsid w:val="00063BF0"/>
    <w:rsid w:val="00064472"/>
    <w:rsid w:val="00065120"/>
    <w:rsid w:val="000671EB"/>
    <w:rsid w:val="00067297"/>
    <w:rsid w:val="0006774C"/>
    <w:rsid w:val="00067A0C"/>
    <w:rsid w:val="00070251"/>
    <w:rsid w:val="000707C4"/>
    <w:rsid w:val="00070DCC"/>
    <w:rsid w:val="00070FF4"/>
    <w:rsid w:val="000711CE"/>
    <w:rsid w:val="0007140D"/>
    <w:rsid w:val="00071546"/>
    <w:rsid w:val="000716E0"/>
    <w:rsid w:val="00071B7E"/>
    <w:rsid w:val="00072CAD"/>
    <w:rsid w:val="00072CBB"/>
    <w:rsid w:val="00072D5D"/>
    <w:rsid w:val="00073111"/>
    <w:rsid w:val="00074085"/>
    <w:rsid w:val="00074CB6"/>
    <w:rsid w:val="00074E8C"/>
    <w:rsid w:val="0007532A"/>
    <w:rsid w:val="00075B07"/>
    <w:rsid w:val="000769CB"/>
    <w:rsid w:val="0007700E"/>
    <w:rsid w:val="00077C43"/>
    <w:rsid w:val="00077D96"/>
    <w:rsid w:val="00077F51"/>
    <w:rsid w:val="00080569"/>
    <w:rsid w:val="00080A55"/>
    <w:rsid w:val="0008167E"/>
    <w:rsid w:val="00081727"/>
    <w:rsid w:val="0008247B"/>
    <w:rsid w:val="00082638"/>
    <w:rsid w:val="000836E1"/>
    <w:rsid w:val="00083B98"/>
    <w:rsid w:val="00083C5F"/>
    <w:rsid w:val="00084152"/>
    <w:rsid w:val="00084396"/>
    <w:rsid w:val="00084CFB"/>
    <w:rsid w:val="00084F9C"/>
    <w:rsid w:val="000856E8"/>
    <w:rsid w:val="00085817"/>
    <w:rsid w:val="00085A05"/>
    <w:rsid w:val="00085C4C"/>
    <w:rsid w:val="00085CA8"/>
    <w:rsid w:val="0008615F"/>
    <w:rsid w:val="00086BF5"/>
    <w:rsid w:val="0008766B"/>
    <w:rsid w:val="00090022"/>
    <w:rsid w:val="000902A8"/>
    <w:rsid w:val="0009046A"/>
    <w:rsid w:val="00090577"/>
    <w:rsid w:val="000916C0"/>
    <w:rsid w:val="000922E9"/>
    <w:rsid w:val="0009272E"/>
    <w:rsid w:val="00092D80"/>
    <w:rsid w:val="000934FF"/>
    <w:rsid w:val="00093FE4"/>
    <w:rsid w:val="0009408B"/>
    <w:rsid w:val="000947D5"/>
    <w:rsid w:val="000948B2"/>
    <w:rsid w:val="00094E23"/>
    <w:rsid w:val="0009576E"/>
    <w:rsid w:val="00096BD5"/>
    <w:rsid w:val="00096C11"/>
    <w:rsid w:val="0009736C"/>
    <w:rsid w:val="000973EE"/>
    <w:rsid w:val="000974CE"/>
    <w:rsid w:val="00097568"/>
    <w:rsid w:val="000A00DF"/>
    <w:rsid w:val="000A0B1C"/>
    <w:rsid w:val="000A1109"/>
    <w:rsid w:val="000A1351"/>
    <w:rsid w:val="000A1359"/>
    <w:rsid w:val="000A1EC6"/>
    <w:rsid w:val="000A1F11"/>
    <w:rsid w:val="000A246C"/>
    <w:rsid w:val="000A24B9"/>
    <w:rsid w:val="000A27BB"/>
    <w:rsid w:val="000A2C15"/>
    <w:rsid w:val="000A3276"/>
    <w:rsid w:val="000A3644"/>
    <w:rsid w:val="000A3A43"/>
    <w:rsid w:val="000A4159"/>
    <w:rsid w:val="000A431E"/>
    <w:rsid w:val="000A4409"/>
    <w:rsid w:val="000A5280"/>
    <w:rsid w:val="000A57C9"/>
    <w:rsid w:val="000A5B3A"/>
    <w:rsid w:val="000A5F97"/>
    <w:rsid w:val="000A664B"/>
    <w:rsid w:val="000A6DEA"/>
    <w:rsid w:val="000A7DD6"/>
    <w:rsid w:val="000B0388"/>
    <w:rsid w:val="000B0AC8"/>
    <w:rsid w:val="000B11C6"/>
    <w:rsid w:val="000B139A"/>
    <w:rsid w:val="000B1AC7"/>
    <w:rsid w:val="000B3218"/>
    <w:rsid w:val="000B3A05"/>
    <w:rsid w:val="000B3B21"/>
    <w:rsid w:val="000B5365"/>
    <w:rsid w:val="000B58DA"/>
    <w:rsid w:val="000B616C"/>
    <w:rsid w:val="000B66D4"/>
    <w:rsid w:val="000B709A"/>
    <w:rsid w:val="000B70F2"/>
    <w:rsid w:val="000B73C5"/>
    <w:rsid w:val="000B7A21"/>
    <w:rsid w:val="000C02CA"/>
    <w:rsid w:val="000C09E1"/>
    <w:rsid w:val="000C0A34"/>
    <w:rsid w:val="000C0D5F"/>
    <w:rsid w:val="000C0F31"/>
    <w:rsid w:val="000C11CC"/>
    <w:rsid w:val="000C1ACE"/>
    <w:rsid w:val="000C1AD9"/>
    <w:rsid w:val="000C2125"/>
    <w:rsid w:val="000C2F23"/>
    <w:rsid w:val="000C3326"/>
    <w:rsid w:val="000C4121"/>
    <w:rsid w:val="000C42DD"/>
    <w:rsid w:val="000C430E"/>
    <w:rsid w:val="000C451C"/>
    <w:rsid w:val="000C46E3"/>
    <w:rsid w:val="000C5A06"/>
    <w:rsid w:val="000C5F00"/>
    <w:rsid w:val="000C5FF1"/>
    <w:rsid w:val="000C6295"/>
    <w:rsid w:val="000C6493"/>
    <w:rsid w:val="000C6951"/>
    <w:rsid w:val="000C69B3"/>
    <w:rsid w:val="000C77F3"/>
    <w:rsid w:val="000C7B63"/>
    <w:rsid w:val="000D136D"/>
    <w:rsid w:val="000D137B"/>
    <w:rsid w:val="000D14CB"/>
    <w:rsid w:val="000D305F"/>
    <w:rsid w:val="000D3D4B"/>
    <w:rsid w:val="000D40E2"/>
    <w:rsid w:val="000D4C54"/>
    <w:rsid w:val="000D4CE0"/>
    <w:rsid w:val="000D5214"/>
    <w:rsid w:val="000D5573"/>
    <w:rsid w:val="000D5608"/>
    <w:rsid w:val="000D595C"/>
    <w:rsid w:val="000D6402"/>
    <w:rsid w:val="000D646A"/>
    <w:rsid w:val="000D6FFA"/>
    <w:rsid w:val="000D70CA"/>
    <w:rsid w:val="000D791E"/>
    <w:rsid w:val="000D7AD1"/>
    <w:rsid w:val="000D7B50"/>
    <w:rsid w:val="000E0227"/>
    <w:rsid w:val="000E0913"/>
    <w:rsid w:val="000E0AB6"/>
    <w:rsid w:val="000E0F1C"/>
    <w:rsid w:val="000E117F"/>
    <w:rsid w:val="000E226D"/>
    <w:rsid w:val="000E2BFB"/>
    <w:rsid w:val="000E3601"/>
    <w:rsid w:val="000E36A0"/>
    <w:rsid w:val="000E3A3F"/>
    <w:rsid w:val="000E3C66"/>
    <w:rsid w:val="000E4148"/>
    <w:rsid w:val="000E4677"/>
    <w:rsid w:val="000E515B"/>
    <w:rsid w:val="000E53F8"/>
    <w:rsid w:val="000E5576"/>
    <w:rsid w:val="000E57BA"/>
    <w:rsid w:val="000E59BE"/>
    <w:rsid w:val="000E61AF"/>
    <w:rsid w:val="000E6404"/>
    <w:rsid w:val="000E657B"/>
    <w:rsid w:val="000E6C53"/>
    <w:rsid w:val="000E789F"/>
    <w:rsid w:val="000E78FD"/>
    <w:rsid w:val="000E7A26"/>
    <w:rsid w:val="000E7EAF"/>
    <w:rsid w:val="000F0C4F"/>
    <w:rsid w:val="000F0DFB"/>
    <w:rsid w:val="000F12D3"/>
    <w:rsid w:val="000F149A"/>
    <w:rsid w:val="000F1C29"/>
    <w:rsid w:val="000F1F59"/>
    <w:rsid w:val="000F21D9"/>
    <w:rsid w:val="000F279B"/>
    <w:rsid w:val="000F2F47"/>
    <w:rsid w:val="000F39B4"/>
    <w:rsid w:val="000F3F2A"/>
    <w:rsid w:val="000F5B4F"/>
    <w:rsid w:val="000F679B"/>
    <w:rsid w:val="000F6834"/>
    <w:rsid w:val="000F73A1"/>
    <w:rsid w:val="0010054D"/>
    <w:rsid w:val="001006C4"/>
    <w:rsid w:val="00100F88"/>
    <w:rsid w:val="00101524"/>
    <w:rsid w:val="00101661"/>
    <w:rsid w:val="00101F47"/>
    <w:rsid w:val="00102E5B"/>
    <w:rsid w:val="001034EA"/>
    <w:rsid w:val="0010422E"/>
    <w:rsid w:val="00104363"/>
    <w:rsid w:val="00104606"/>
    <w:rsid w:val="0010464D"/>
    <w:rsid w:val="00104CD2"/>
    <w:rsid w:val="00105237"/>
    <w:rsid w:val="001052E5"/>
    <w:rsid w:val="00105566"/>
    <w:rsid w:val="00105951"/>
    <w:rsid w:val="00105A2B"/>
    <w:rsid w:val="001063F8"/>
    <w:rsid w:val="00106437"/>
    <w:rsid w:val="00106D6E"/>
    <w:rsid w:val="0010709B"/>
    <w:rsid w:val="00107604"/>
    <w:rsid w:val="0010762A"/>
    <w:rsid w:val="0011258C"/>
    <w:rsid w:val="001126CC"/>
    <w:rsid w:val="001128F9"/>
    <w:rsid w:val="00112C70"/>
    <w:rsid w:val="00112CDF"/>
    <w:rsid w:val="0011311D"/>
    <w:rsid w:val="001136FD"/>
    <w:rsid w:val="00113A08"/>
    <w:rsid w:val="00113CF0"/>
    <w:rsid w:val="0011407B"/>
    <w:rsid w:val="00115ED7"/>
    <w:rsid w:val="0011656C"/>
    <w:rsid w:val="00116676"/>
    <w:rsid w:val="001166BE"/>
    <w:rsid w:val="00116881"/>
    <w:rsid w:val="00116B3B"/>
    <w:rsid w:val="00117213"/>
    <w:rsid w:val="001174A3"/>
    <w:rsid w:val="00117D9D"/>
    <w:rsid w:val="00117DD9"/>
    <w:rsid w:val="00120432"/>
    <w:rsid w:val="00120ED4"/>
    <w:rsid w:val="00120F12"/>
    <w:rsid w:val="00120F59"/>
    <w:rsid w:val="00121175"/>
    <w:rsid w:val="00121C14"/>
    <w:rsid w:val="00121C22"/>
    <w:rsid w:val="00121D56"/>
    <w:rsid w:val="00121F75"/>
    <w:rsid w:val="0012227F"/>
    <w:rsid w:val="00122471"/>
    <w:rsid w:val="001225A1"/>
    <w:rsid w:val="001227BD"/>
    <w:rsid w:val="00122912"/>
    <w:rsid w:val="00124080"/>
    <w:rsid w:val="00124A7B"/>
    <w:rsid w:val="001266DD"/>
    <w:rsid w:val="001267D3"/>
    <w:rsid w:val="00126D32"/>
    <w:rsid w:val="00126D9E"/>
    <w:rsid w:val="00127215"/>
    <w:rsid w:val="00130361"/>
    <w:rsid w:val="001304C5"/>
    <w:rsid w:val="00130757"/>
    <w:rsid w:val="001307A6"/>
    <w:rsid w:val="00130B2F"/>
    <w:rsid w:val="0013168C"/>
    <w:rsid w:val="001316E0"/>
    <w:rsid w:val="001327EC"/>
    <w:rsid w:val="00132C7D"/>
    <w:rsid w:val="00132D7B"/>
    <w:rsid w:val="00132EE6"/>
    <w:rsid w:val="00133148"/>
    <w:rsid w:val="0013698E"/>
    <w:rsid w:val="00136F93"/>
    <w:rsid w:val="001372F2"/>
    <w:rsid w:val="0013733D"/>
    <w:rsid w:val="00137699"/>
    <w:rsid w:val="00137C16"/>
    <w:rsid w:val="00137FC4"/>
    <w:rsid w:val="001402C8"/>
    <w:rsid w:val="00140669"/>
    <w:rsid w:val="00140EF4"/>
    <w:rsid w:val="00140FA6"/>
    <w:rsid w:val="001428E2"/>
    <w:rsid w:val="00142C15"/>
    <w:rsid w:val="00142E9D"/>
    <w:rsid w:val="00143E19"/>
    <w:rsid w:val="0014488B"/>
    <w:rsid w:val="0014491F"/>
    <w:rsid w:val="00146C63"/>
    <w:rsid w:val="00146C9C"/>
    <w:rsid w:val="00147582"/>
    <w:rsid w:val="00147D51"/>
    <w:rsid w:val="00147F1E"/>
    <w:rsid w:val="0015052B"/>
    <w:rsid w:val="00150877"/>
    <w:rsid w:val="00150DC2"/>
    <w:rsid w:val="00151567"/>
    <w:rsid w:val="00151920"/>
    <w:rsid w:val="00152027"/>
    <w:rsid w:val="0015215C"/>
    <w:rsid w:val="001522A4"/>
    <w:rsid w:val="001525D7"/>
    <w:rsid w:val="00152601"/>
    <w:rsid w:val="00152763"/>
    <w:rsid w:val="0015286F"/>
    <w:rsid w:val="00152E75"/>
    <w:rsid w:val="00152E8F"/>
    <w:rsid w:val="00153343"/>
    <w:rsid w:val="00153C32"/>
    <w:rsid w:val="00153FBF"/>
    <w:rsid w:val="00154DB4"/>
    <w:rsid w:val="0015515A"/>
    <w:rsid w:val="00155591"/>
    <w:rsid w:val="001555DE"/>
    <w:rsid w:val="00155696"/>
    <w:rsid w:val="00155AC1"/>
    <w:rsid w:val="00155BAE"/>
    <w:rsid w:val="00156AFC"/>
    <w:rsid w:val="00156DC9"/>
    <w:rsid w:val="0015730D"/>
    <w:rsid w:val="001600CB"/>
    <w:rsid w:val="001600E9"/>
    <w:rsid w:val="0016086A"/>
    <w:rsid w:val="00160B15"/>
    <w:rsid w:val="00160C37"/>
    <w:rsid w:val="00160C57"/>
    <w:rsid w:val="00161046"/>
    <w:rsid w:val="0016116C"/>
    <w:rsid w:val="001613B6"/>
    <w:rsid w:val="00161B52"/>
    <w:rsid w:val="00161C69"/>
    <w:rsid w:val="0016219D"/>
    <w:rsid w:val="0016220A"/>
    <w:rsid w:val="001627B6"/>
    <w:rsid w:val="00162C6F"/>
    <w:rsid w:val="00162F83"/>
    <w:rsid w:val="001631C6"/>
    <w:rsid w:val="00163314"/>
    <w:rsid w:val="001634F6"/>
    <w:rsid w:val="001637A2"/>
    <w:rsid w:val="001639A0"/>
    <w:rsid w:val="00163C8A"/>
    <w:rsid w:val="00164FBE"/>
    <w:rsid w:val="00165541"/>
    <w:rsid w:val="00165ABD"/>
    <w:rsid w:val="00166110"/>
    <w:rsid w:val="00166481"/>
    <w:rsid w:val="00167698"/>
    <w:rsid w:val="00167A42"/>
    <w:rsid w:val="00167DE3"/>
    <w:rsid w:val="00167F19"/>
    <w:rsid w:val="00170013"/>
    <w:rsid w:val="00170890"/>
    <w:rsid w:val="00170AFA"/>
    <w:rsid w:val="00170D01"/>
    <w:rsid w:val="00171078"/>
    <w:rsid w:val="00171AE4"/>
    <w:rsid w:val="00171B2F"/>
    <w:rsid w:val="00171CF3"/>
    <w:rsid w:val="0017203E"/>
    <w:rsid w:val="00172487"/>
    <w:rsid w:val="00172609"/>
    <w:rsid w:val="00172B5F"/>
    <w:rsid w:val="00172E8C"/>
    <w:rsid w:val="001735FC"/>
    <w:rsid w:val="001737F4"/>
    <w:rsid w:val="00173EC3"/>
    <w:rsid w:val="00174213"/>
    <w:rsid w:val="001742A2"/>
    <w:rsid w:val="00174B6E"/>
    <w:rsid w:val="001750E9"/>
    <w:rsid w:val="00175677"/>
    <w:rsid w:val="001761FC"/>
    <w:rsid w:val="001764B9"/>
    <w:rsid w:val="00177197"/>
    <w:rsid w:val="00177247"/>
    <w:rsid w:val="001773F3"/>
    <w:rsid w:val="001775FE"/>
    <w:rsid w:val="001778E3"/>
    <w:rsid w:val="00180458"/>
    <w:rsid w:val="00180C2C"/>
    <w:rsid w:val="0018107D"/>
    <w:rsid w:val="0018167F"/>
    <w:rsid w:val="001822CC"/>
    <w:rsid w:val="00182569"/>
    <w:rsid w:val="0018284E"/>
    <w:rsid w:val="001831AC"/>
    <w:rsid w:val="00183992"/>
    <w:rsid w:val="00183FCB"/>
    <w:rsid w:val="00183FDA"/>
    <w:rsid w:val="001844DC"/>
    <w:rsid w:val="001849B5"/>
    <w:rsid w:val="00184A7E"/>
    <w:rsid w:val="00184F44"/>
    <w:rsid w:val="00185071"/>
    <w:rsid w:val="001852CF"/>
    <w:rsid w:val="001857CA"/>
    <w:rsid w:val="00185B05"/>
    <w:rsid w:val="00185C5B"/>
    <w:rsid w:val="0018600C"/>
    <w:rsid w:val="00187137"/>
    <w:rsid w:val="00187A98"/>
    <w:rsid w:val="00187E6E"/>
    <w:rsid w:val="00187FA6"/>
    <w:rsid w:val="001900C6"/>
    <w:rsid w:val="001911CA"/>
    <w:rsid w:val="00191DAA"/>
    <w:rsid w:val="00191F0C"/>
    <w:rsid w:val="00192A74"/>
    <w:rsid w:val="0019323A"/>
    <w:rsid w:val="0019386C"/>
    <w:rsid w:val="00193D5C"/>
    <w:rsid w:val="0019432C"/>
    <w:rsid w:val="001943B4"/>
    <w:rsid w:val="001943DF"/>
    <w:rsid w:val="00194C50"/>
    <w:rsid w:val="00194CDA"/>
    <w:rsid w:val="001956D1"/>
    <w:rsid w:val="00195900"/>
    <w:rsid w:val="001964FF"/>
    <w:rsid w:val="001967CA"/>
    <w:rsid w:val="00197182"/>
    <w:rsid w:val="0019746A"/>
    <w:rsid w:val="00197747"/>
    <w:rsid w:val="001A08B7"/>
    <w:rsid w:val="001A0A4F"/>
    <w:rsid w:val="001A0DB3"/>
    <w:rsid w:val="001A0F57"/>
    <w:rsid w:val="001A1284"/>
    <w:rsid w:val="001A170A"/>
    <w:rsid w:val="001A1AAA"/>
    <w:rsid w:val="001A1B85"/>
    <w:rsid w:val="001A1D03"/>
    <w:rsid w:val="001A3413"/>
    <w:rsid w:val="001A345B"/>
    <w:rsid w:val="001A39CB"/>
    <w:rsid w:val="001A3AB1"/>
    <w:rsid w:val="001A3ABB"/>
    <w:rsid w:val="001A3B9C"/>
    <w:rsid w:val="001A4F7A"/>
    <w:rsid w:val="001A57C6"/>
    <w:rsid w:val="001A5B0F"/>
    <w:rsid w:val="001A5DE4"/>
    <w:rsid w:val="001A62DA"/>
    <w:rsid w:val="001A7A62"/>
    <w:rsid w:val="001B0030"/>
    <w:rsid w:val="001B099C"/>
    <w:rsid w:val="001B2437"/>
    <w:rsid w:val="001B2CC0"/>
    <w:rsid w:val="001B377D"/>
    <w:rsid w:val="001B37F0"/>
    <w:rsid w:val="001B437D"/>
    <w:rsid w:val="001B440C"/>
    <w:rsid w:val="001B5B06"/>
    <w:rsid w:val="001B64E2"/>
    <w:rsid w:val="001B6551"/>
    <w:rsid w:val="001B65FC"/>
    <w:rsid w:val="001B691A"/>
    <w:rsid w:val="001B6FE2"/>
    <w:rsid w:val="001B7C81"/>
    <w:rsid w:val="001C066F"/>
    <w:rsid w:val="001C0DA3"/>
    <w:rsid w:val="001C190A"/>
    <w:rsid w:val="001C1F20"/>
    <w:rsid w:val="001C2100"/>
    <w:rsid w:val="001C242C"/>
    <w:rsid w:val="001C26B9"/>
    <w:rsid w:val="001C3284"/>
    <w:rsid w:val="001C365C"/>
    <w:rsid w:val="001C39E6"/>
    <w:rsid w:val="001C3B84"/>
    <w:rsid w:val="001C3CFE"/>
    <w:rsid w:val="001C4063"/>
    <w:rsid w:val="001C547E"/>
    <w:rsid w:val="001C570E"/>
    <w:rsid w:val="001C5CBB"/>
    <w:rsid w:val="001C5DF1"/>
    <w:rsid w:val="001C5FF2"/>
    <w:rsid w:val="001C62F7"/>
    <w:rsid w:val="001C6344"/>
    <w:rsid w:val="001C6AE1"/>
    <w:rsid w:val="001C70DF"/>
    <w:rsid w:val="001C7EB7"/>
    <w:rsid w:val="001D02AB"/>
    <w:rsid w:val="001D150F"/>
    <w:rsid w:val="001D1604"/>
    <w:rsid w:val="001D17B0"/>
    <w:rsid w:val="001D1F35"/>
    <w:rsid w:val="001D223E"/>
    <w:rsid w:val="001D285E"/>
    <w:rsid w:val="001D2B53"/>
    <w:rsid w:val="001D368A"/>
    <w:rsid w:val="001D3BB4"/>
    <w:rsid w:val="001D3DF0"/>
    <w:rsid w:val="001D43D1"/>
    <w:rsid w:val="001D46DD"/>
    <w:rsid w:val="001D5A5E"/>
    <w:rsid w:val="001D639D"/>
    <w:rsid w:val="001E037C"/>
    <w:rsid w:val="001E0514"/>
    <w:rsid w:val="001E0C67"/>
    <w:rsid w:val="001E15B5"/>
    <w:rsid w:val="001E2310"/>
    <w:rsid w:val="001E24B4"/>
    <w:rsid w:val="001E2660"/>
    <w:rsid w:val="001E2CD0"/>
    <w:rsid w:val="001E3084"/>
    <w:rsid w:val="001E3335"/>
    <w:rsid w:val="001E35C3"/>
    <w:rsid w:val="001E3ED3"/>
    <w:rsid w:val="001E3FDA"/>
    <w:rsid w:val="001E4029"/>
    <w:rsid w:val="001E43BB"/>
    <w:rsid w:val="001E4F8D"/>
    <w:rsid w:val="001E5001"/>
    <w:rsid w:val="001E5577"/>
    <w:rsid w:val="001E6650"/>
    <w:rsid w:val="001E6B8E"/>
    <w:rsid w:val="001E6D97"/>
    <w:rsid w:val="001E6E7E"/>
    <w:rsid w:val="001E7521"/>
    <w:rsid w:val="001F0A67"/>
    <w:rsid w:val="001F0A7A"/>
    <w:rsid w:val="001F129C"/>
    <w:rsid w:val="001F1664"/>
    <w:rsid w:val="001F1A28"/>
    <w:rsid w:val="001F22ED"/>
    <w:rsid w:val="001F2463"/>
    <w:rsid w:val="001F2677"/>
    <w:rsid w:val="001F27C1"/>
    <w:rsid w:val="001F28DB"/>
    <w:rsid w:val="001F2A37"/>
    <w:rsid w:val="001F4387"/>
    <w:rsid w:val="001F4F53"/>
    <w:rsid w:val="001F5BDE"/>
    <w:rsid w:val="001F5ED5"/>
    <w:rsid w:val="001F64D5"/>
    <w:rsid w:val="001F6936"/>
    <w:rsid w:val="001F6DD0"/>
    <w:rsid w:val="001F6E8D"/>
    <w:rsid w:val="001F70BB"/>
    <w:rsid w:val="001F74BD"/>
    <w:rsid w:val="001F765D"/>
    <w:rsid w:val="001F7BEA"/>
    <w:rsid w:val="00200355"/>
    <w:rsid w:val="00200956"/>
    <w:rsid w:val="00201115"/>
    <w:rsid w:val="00201BF3"/>
    <w:rsid w:val="00202C0A"/>
    <w:rsid w:val="00203468"/>
    <w:rsid w:val="00203864"/>
    <w:rsid w:val="00204159"/>
    <w:rsid w:val="0020421C"/>
    <w:rsid w:val="00204D8D"/>
    <w:rsid w:val="00205C1F"/>
    <w:rsid w:val="00205F5B"/>
    <w:rsid w:val="00206E6F"/>
    <w:rsid w:val="00206EAE"/>
    <w:rsid w:val="00206F62"/>
    <w:rsid w:val="002070C6"/>
    <w:rsid w:val="0020730F"/>
    <w:rsid w:val="00207358"/>
    <w:rsid w:val="00207804"/>
    <w:rsid w:val="00207B94"/>
    <w:rsid w:val="0021033C"/>
    <w:rsid w:val="00210C6E"/>
    <w:rsid w:val="00210E2E"/>
    <w:rsid w:val="00210E52"/>
    <w:rsid w:val="002122BB"/>
    <w:rsid w:val="002125E7"/>
    <w:rsid w:val="00212AF0"/>
    <w:rsid w:val="00213925"/>
    <w:rsid w:val="00213EB4"/>
    <w:rsid w:val="00215480"/>
    <w:rsid w:val="002157BC"/>
    <w:rsid w:val="00216102"/>
    <w:rsid w:val="00216C24"/>
    <w:rsid w:val="00217334"/>
    <w:rsid w:val="00217416"/>
    <w:rsid w:val="00217435"/>
    <w:rsid w:val="00217D94"/>
    <w:rsid w:val="0022031D"/>
    <w:rsid w:val="002205B7"/>
    <w:rsid w:val="002207C3"/>
    <w:rsid w:val="00220E46"/>
    <w:rsid w:val="00221C0B"/>
    <w:rsid w:val="00221E83"/>
    <w:rsid w:val="0022267E"/>
    <w:rsid w:val="00222D89"/>
    <w:rsid w:val="0022426D"/>
    <w:rsid w:val="00224BE4"/>
    <w:rsid w:val="00224E54"/>
    <w:rsid w:val="002265FA"/>
    <w:rsid w:val="00226724"/>
    <w:rsid w:val="0022687A"/>
    <w:rsid w:val="002272CC"/>
    <w:rsid w:val="002277AC"/>
    <w:rsid w:val="00227BFB"/>
    <w:rsid w:val="00227FD4"/>
    <w:rsid w:val="002303A6"/>
    <w:rsid w:val="00230928"/>
    <w:rsid w:val="002310D4"/>
    <w:rsid w:val="00233221"/>
    <w:rsid w:val="002333E0"/>
    <w:rsid w:val="00233A3D"/>
    <w:rsid w:val="00233A85"/>
    <w:rsid w:val="00233ABF"/>
    <w:rsid w:val="00233C3E"/>
    <w:rsid w:val="002344EF"/>
    <w:rsid w:val="002346F6"/>
    <w:rsid w:val="002347DB"/>
    <w:rsid w:val="0023490B"/>
    <w:rsid w:val="00234ABF"/>
    <w:rsid w:val="00235976"/>
    <w:rsid w:val="00235AAC"/>
    <w:rsid w:val="00236C0E"/>
    <w:rsid w:val="0023713F"/>
    <w:rsid w:val="002371CA"/>
    <w:rsid w:val="002374B6"/>
    <w:rsid w:val="00237586"/>
    <w:rsid w:val="00237797"/>
    <w:rsid w:val="0023787B"/>
    <w:rsid w:val="0024081B"/>
    <w:rsid w:val="00240B4D"/>
    <w:rsid w:val="00240FFE"/>
    <w:rsid w:val="002418EB"/>
    <w:rsid w:val="00241B66"/>
    <w:rsid w:val="002420C4"/>
    <w:rsid w:val="00242161"/>
    <w:rsid w:val="00242310"/>
    <w:rsid w:val="002444E3"/>
    <w:rsid w:val="002444F0"/>
    <w:rsid w:val="00244AFC"/>
    <w:rsid w:val="00244E40"/>
    <w:rsid w:val="00245CC6"/>
    <w:rsid w:val="00245EFE"/>
    <w:rsid w:val="0024608D"/>
    <w:rsid w:val="00246F79"/>
    <w:rsid w:val="00247EBA"/>
    <w:rsid w:val="0025003D"/>
    <w:rsid w:val="0025006B"/>
    <w:rsid w:val="00250952"/>
    <w:rsid w:val="00252078"/>
    <w:rsid w:val="0025258F"/>
    <w:rsid w:val="00253CB9"/>
    <w:rsid w:val="0025455D"/>
    <w:rsid w:val="002547AD"/>
    <w:rsid w:val="002554AD"/>
    <w:rsid w:val="00255BDE"/>
    <w:rsid w:val="00255D24"/>
    <w:rsid w:val="00255E5D"/>
    <w:rsid w:val="00256CFE"/>
    <w:rsid w:val="00256FEB"/>
    <w:rsid w:val="00257A78"/>
    <w:rsid w:val="00257B64"/>
    <w:rsid w:val="00260422"/>
    <w:rsid w:val="00260BAA"/>
    <w:rsid w:val="00260E37"/>
    <w:rsid w:val="00261899"/>
    <w:rsid w:val="00261E9B"/>
    <w:rsid w:val="00262205"/>
    <w:rsid w:val="002623DC"/>
    <w:rsid w:val="00262F73"/>
    <w:rsid w:val="00263A38"/>
    <w:rsid w:val="00263B31"/>
    <w:rsid w:val="00263C68"/>
    <w:rsid w:val="00264E5F"/>
    <w:rsid w:val="00264EF3"/>
    <w:rsid w:val="00265DEB"/>
    <w:rsid w:val="00265F54"/>
    <w:rsid w:val="002664E9"/>
    <w:rsid w:val="002666A8"/>
    <w:rsid w:val="00266728"/>
    <w:rsid w:val="00266A05"/>
    <w:rsid w:val="00266D33"/>
    <w:rsid w:val="00267290"/>
    <w:rsid w:val="00267A16"/>
    <w:rsid w:val="00267E1C"/>
    <w:rsid w:val="00267F9F"/>
    <w:rsid w:val="0027001B"/>
    <w:rsid w:val="002703BF"/>
    <w:rsid w:val="00270617"/>
    <w:rsid w:val="0027087B"/>
    <w:rsid w:val="0027183F"/>
    <w:rsid w:val="00271974"/>
    <w:rsid w:val="00271C12"/>
    <w:rsid w:val="00271C2D"/>
    <w:rsid w:val="0027237F"/>
    <w:rsid w:val="00272929"/>
    <w:rsid w:val="00272C90"/>
    <w:rsid w:val="00273666"/>
    <w:rsid w:val="00273920"/>
    <w:rsid w:val="0027394E"/>
    <w:rsid w:val="00274A6C"/>
    <w:rsid w:val="002758EA"/>
    <w:rsid w:val="00275BC8"/>
    <w:rsid w:val="00276041"/>
    <w:rsid w:val="00276546"/>
    <w:rsid w:val="002765C3"/>
    <w:rsid w:val="0027696C"/>
    <w:rsid w:val="002772BC"/>
    <w:rsid w:val="0027739D"/>
    <w:rsid w:val="00280D21"/>
    <w:rsid w:val="00280ECA"/>
    <w:rsid w:val="00280FC7"/>
    <w:rsid w:val="00281D1D"/>
    <w:rsid w:val="00281F36"/>
    <w:rsid w:val="002837B4"/>
    <w:rsid w:val="00283896"/>
    <w:rsid w:val="00284006"/>
    <w:rsid w:val="00284542"/>
    <w:rsid w:val="00284A9F"/>
    <w:rsid w:val="00285608"/>
    <w:rsid w:val="00286588"/>
    <w:rsid w:val="002867C2"/>
    <w:rsid w:val="00286BCA"/>
    <w:rsid w:val="0028702B"/>
    <w:rsid w:val="00287092"/>
    <w:rsid w:val="00287253"/>
    <w:rsid w:val="00290070"/>
    <w:rsid w:val="00290322"/>
    <w:rsid w:val="002914D9"/>
    <w:rsid w:val="002917BB"/>
    <w:rsid w:val="00291B07"/>
    <w:rsid w:val="00292B21"/>
    <w:rsid w:val="00292BE3"/>
    <w:rsid w:val="00292E0B"/>
    <w:rsid w:val="00293700"/>
    <w:rsid w:val="00293757"/>
    <w:rsid w:val="00293B8F"/>
    <w:rsid w:val="002946BB"/>
    <w:rsid w:val="00294A37"/>
    <w:rsid w:val="00294BA7"/>
    <w:rsid w:val="00295241"/>
    <w:rsid w:val="002952C3"/>
    <w:rsid w:val="002957DA"/>
    <w:rsid w:val="00295D99"/>
    <w:rsid w:val="00296F9D"/>
    <w:rsid w:val="00297200"/>
    <w:rsid w:val="00297B52"/>
    <w:rsid w:val="002A2C02"/>
    <w:rsid w:val="002A2C42"/>
    <w:rsid w:val="002A3731"/>
    <w:rsid w:val="002A3AF1"/>
    <w:rsid w:val="002A49F7"/>
    <w:rsid w:val="002A4C47"/>
    <w:rsid w:val="002A5A28"/>
    <w:rsid w:val="002A6149"/>
    <w:rsid w:val="002A62B5"/>
    <w:rsid w:val="002A65AE"/>
    <w:rsid w:val="002A690C"/>
    <w:rsid w:val="002A6B51"/>
    <w:rsid w:val="002A75DE"/>
    <w:rsid w:val="002A76AB"/>
    <w:rsid w:val="002A76CF"/>
    <w:rsid w:val="002A7B25"/>
    <w:rsid w:val="002A7FD4"/>
    <w:rsid w:val="002B005F"/>
    <w:rsid w:val="002B0C34"/>
    <w:rsid w:val="002B11C5"/>
    <w:rsid w:val="002B124E"/>
    <w:rsid w:val="002B2CC5"/>
    <w:rsid w:val="002B2FBD"/>
    <w:rsid w:val="002B34ED"/>
    <w:rsid w:val="002B35CB"/>
    <w:rsid w:val="002B3B82"/>
    <w:rsid w:val="002B3C4E"/>
    <w:rsid w:val="002B3E2D"/>
    <w:rsid w:val="002B4203"/>
    <w:rsid w:val="002B4596"/>
    <w:rsid w:val="002B50BC"/>
    <w:rsid w:val="002B5397"/>
    <w:rsid w:val="002B5CFF"/>
    <w:rsid w:val="002B78C6"/>
    <w:rsid w:val="002B7B9A"/>
    <w:rsid w:val="002B7C9C"/>
    <w:rsid w:val="002B7FB3"/>
    <w:rsid w:val="002C0843"/>
    <w:rsid w:val="002C0BFF"/>
    <w:rsid w:val="002C0FC1"/>
    <w:rsid w:val="002C147F"/>
    <w:rsid w:val="002C1C3F"/>
    <w:rsid w:val="002C24B3"/>
    <w:rsid w:val="002C24FB"/>
    <w:rsid w:val="002C27A1"/>
    <w:rsid w:val="002C2A09"/>
    <w:rsid w:val="002C2A61"/>
    <w:rsid w:val="002C2CB9"/>
    <w:rsid w:val="002C2D4E"/>
    <w:rsid w:val="002C2DD3"/>
    <w:rsid w:val="002C2E72"/>
    <w:rsid w:val="002C2E93"/>
    <w:rsid w:val="002C3524"/>
    <w:rsid w:val="002C4C79"/>
    <w:rsid w:val="002C57CD"/>
    <w:rsid w:val="002C5956"/>
    <w:rsid w:val="002C5A93"/>
    <w:rsid w:val="002C6037"/>
    <w:rsid w:val="002C6152"/>
    <w:rsid w:val="002C6C2D"/>
    <w:rsid w:val="002C7235"/>
    <w:rsid w:val="002D00D8"/>
    <w:rsid w:val="002D038F"/>
    <w:rsid w:val="002D05DB"/>
    <w:rsid w:val="002D0962"/>
    <w:rsid w:val="002D1256"/>
    <w:rsid w:val="002D1B20"/>
    <w:rsid w:val="002D1D08"/>
    <w:rsid w:val="002D2157"/>
    <w:rsid w:val="002D2216"/>
    <w:rsid w:val="002D242D"/>
    <w:rsid w:val="002D2788"/>
    <w:rsid w:val="002D28A9"/>
    <w:rsid w:val="002D28D6"/>
    <w:rsid w:val="002D2999"/>
    <w:rsid w:val="002D2FAD"/>
    <w:rsid w:val="002D3452"/>
    <w:rsid w:val="002D3EB1"/>
    <w:rsid w:val="002D4718"/>
    <w:rsid w:val="002D4E65"/>
    <w:rsid w:val="002D591B"/>
    <w:rsid w:val="002D6B02"/>
    <w:rsid w:val="002D6C72"/>
    <w:rsid w:val="002D70A6"/>
    <w:rsid w:val="002D7484"/>
    <w:rsid w:val="002D7BDC"/>
    <w:rsid w:val="002E0132"/>
    <w:rsid w:val="002E029C"/>
    <w:rsid w:val="002E02B8"/>
    <w:rsid w:val="002E0D86"/>
    <w:rsid w:val="002E2D29"/>
    <w:rsid w:val="002E329E"/>
    <w:rsid w:val="002E33DF"/>
    <w:rsid w:val="002E42A2"/>
    <w:rsid w:val="002E469B"/>
    <w:rsid w:val="002E48FF"/>
    <w:rsid w:val="002E4CDD"/>
    <w:rsid w:val="002E5129"/>
    <w:rsid w:val="002E5747"/>
    <w:rsid w:val="002E5A75"/>
    <w:rsid w:val="002E5BD9"/>
    <w:rsid w:val="002E5CB4"/>
    <w:rsid w:val="002E5D69"/>
    <w:rsid w:val="002E5EB6"/>
    <w:rsid w:val="002E6630"/>
    <w:rsid w:val="002E7AE8"/>
    <w:rsid w:val="002E7B76"/>
    <w:rsid w:val="002F0114"/>
    <w:rsid w:val="002F0380"/>
    <w:rsid w:val="002F079E"/>
    <w:rsid w:val="002F0CB7"/>
    <w:rsid w:val="002F0DB8"/>
    <w:rsid w:val="002F0E5D"/>
    <w:rsid w:val="002F0EC5"/>
    <w:rsid w:val="002F103E"/>
    <w:rsid w:val="002F1149"/>
    <w:rsid w:val="002F11F8"/>
    <w:rsid w:val="002F13D8"/>
    <w:rsid w:val="002F20CB"/>
    <w:rsid w:val="002F2204"/>
    <w:rsid w:val="002F2283"/>
    <w:rsid w:val="002F2935"/>
    <w:rsid w:val="002F3464"/>
    <w:rsid w:val="002F3AFD"/>
    <w:rsid w:val="002F3DDD"/>
    <w:rsid w:val="002F3E4D"/>
    <w:rsid w:val="002F3E5A"/>
    <w:rsid w:val="002F4138"/>
    <w:rsid w:val="002F41C6"/>
    <w:rsid w:val="002F422F"/>
    <w:rsid w:val="002F426D"/>
    <w:rsid w:val="002F4281"/>
    <w:rsid w:val="002F42B5"/>
    <w:rsid w:val="002F43AF"/>
    <w:rsid w:val="002F4422"/>
    <w:rsid w:val="002F4FF1"/>
    <w:rsid w:val="002F5090"/>
    <w:rsid w:val="002F5244"/>
    <w:rsid w:val="002F5408"/>
    <w:rsid w:val="002F5DDA"/>
    <w:rsid w:val="002F697A"/>
    <w:rsid w:val="002F6D08"/>
    <w:rsid w:val="002F6E30"/>
    <w:rsid w:val="002F7AC2"/>
    <w:rsid w:val="003009A0"/>
    <w:rsid w:val="003009FA"/>
    <w:rsid w:val="00300B91"/>
    <w:rsid w:val="00300CF3"/>
    <w:rsid w:val="003011D5"/>
    <w:rsid w:val="00301753"/>
    <w:rsid w:val="00301E5A"/>
    <w:rsid w:val="00303530"/>
    <w:rsid w:val="003037BC"/>
    <w:rsid w:val="00304254"/>
    <w:rsid w:val="003050D9"/>
    <w:rsid w:val="003056BB"/>
    <w:rsid w:val="00305705"/>
    <w:rsid w:val="0030580A"/>
    <w:rsid w:val="00305A63"/>
    <w:rsid w:val="00305BCA"/>
    <w:rsid w:val="003068B8"/>
    <w:rsid w:val="003071A5"/>
    <w:rsid w:val="003075FF"/>
    <w:rsid w:val="00307F5C"/>
    <w:rsid w:val="00307FA2"/>
    <w:rsid w:val="003102C6"/>
    <w:rsid w:val="0031072B"/>
    <w:rsid w:val="00311865"/>
    <w:rsid w:val="00311CE3"/>
    <w:rsid w:val="00312009"/>
    <w:rsid w:val="0031282C"/>
    <w:rsid w:val="00313038"/>
    <w:rsid w:val="00313146"/>
    <w:rsid w:val="003137AF"/>
    <w:rsid w:val="003141DD"/>
    <w:rsid w:val="003148EA"/>
    <w:rsid w:val="00315F8C"/>
    <w:rsid w:val="00316568"/>
    <w:rsid w:val="0031677C"/>
    <w:rsid w:val="00316C62"/>
    <w:rsid w:val="00317792"/>
    <w:rsid w:val="00317A71"/>
    <w:rsid w:val="00320A08"/>
    <w:rsid w:val="003212CD"/>
    <w:rsid w:val="00321398"/>
    <w:rsid w:val="00322254"/>
    <w:rsid w:val="00322931"/>
    <w:rsid w:val="00323381"/>
    <w:rsid w:val="003235BC"/>
    <w:rsid w:val="0032366E"/>
    <w:rsid w:val="00323A6C"/>
    <w:rsid w:val="00323C8F"/>
    <w:rsid w:val="00323DDA"/>
    <w:rsid w:val="0032492D"/>
    <w:rsid w:val="0032571E"/>
    <w:rsid w:val="00325E64"/>
    <w:rsid w:val="00325EB2"/>
    <w:rsid w:val="003269AC"/>
    <w:rsid w:val="00326CB0"/>
    <w:rsid w:val="00326CB2"/>
    <w:rsid w:val="0032715C"/>
    <w:rsid w:val="003274D9"/>
    <w:rsid w:val="00327985"/>
    <w:rsid w:val="00330B0F"/>
    <w:rsid w:val="00330E30"/>
    <w:rsid w:val="003311AC"/>
    <w:rsid w:val="00331CB1"/>
    <w:rsid w:val="00331D42"/>
    <w:rsid w:val="00331E87"/>
    <w:rsid w:val="00332207"/>
    <w:rsid w:val="00333398"/>
    <w:rsid w:val="00333DF7"/>
    <w:rsid w:val="0033404C"/>
    <w:rsid w:val="00334922"/>
    <w:rsid w:val="0033574E"/>
    <w:rsid w:val="0033667D"/>
    <w:rsid w:val="00336E36"/>
    <w:rsid w:val="0033782B"/>
    <w:rsid w:val="003379B9"/>
    <w:rsid w:val="00337C70"/>
    <w:rsid w:val="00337E06"/>
    <w:rsid w:val="00337F5B"/>
    <w:rsid w:val="0034162F"/>
    <w:rsid w:val="003416A6"/>
    <w:rsid w:val="00342669"/>
    <w:rsid w:val="0034326A"/>
    <w:rsid w:val="00343653"/>
    <w:rsid w:val="00343703"/>
    <w:rsid w:val="00343BA7"/>
    <w:rsid w:val="00343D11"/>
    <w:rsid w:val="00344262"/>
    <w:rsid w:val="003448B9"/>
    <w:rsid w:val="003448CE"/>
    <w:rsid w:val="00344A33"/>
    <w:rsid w:val="00344DF4"/>
    <w:rsid w:val="00345215"/>
    <w:rsid w:val="0034528C"/>
    <w:rsid w:val="00345544"/>
    <w:rsid w:val="003464E4"/>
    <w:rsid w:val="00346512"/>
    <w:rsid w:val="003466C7"/>
    <w:rsid w:val="00346D63"/>
    <w:rsid w:val="00347014"/>
    <w:rsid w:val="0034710C"/>
    <w:rsid w:val="0034755D"/>
    <w:rsid w:val="003475B8"/>
    <w:rsid w:val="003476EE"/>
    <w:rsid w:val="00347C12"/>
    <w:rsid w:val="003501D5"/>
    <w:rsid w:val="00351036"/>
    <w:rsid w:val="0035128F"/>
    <w:rsid w:val="0035136A"/>
    <w:rsid w:val="003514C1"/>
    <w:rsid w:val="00351C55"/>
    <w:rsid w:val="00352266"/>
    <w:rsid w:val="00352341"/>
    <w:rsid w:val="0035295E"/>
    <w:rsid w:val="00352D66"/>
    <w:rsid w:val="0035311A"/>
    <w:rsid w:val="003535D5"/>
    <w:rsid w:val="00353876"/>
    <w:rsid w:val="00353AFC"/>
    <w:rsid w:val="003542E1"/>
    <w:rsid w:val="003544FA"/>
    <w:rsid w:val="003549BE"/>
    <w:rsid w:val="003550ED"/>
    <w:rsid w:val="00355773"/>
    <w:rsid w:val="003557EC"/>
    <w:rsid w:val="00355FF5"/>
    <w:rsid w:val="003561B9"/>
    <w:rsid w:val="00357046"/>
    <w:rsid w:val="00357558"/>
    <w:rsid w:val="00357FC0"/>
    <w:rsid w:val="0036024D"/>
    <w:rsid w:val="00360351"/>
    <w:rsid w:val="00360355"/>
    <w:rsid w:val="0036114F"/>
    <w:rsid w:val="0036162A"/>
    <w:rsid w:val="00361710"/>
    <w:rsid w:val="00362048"/>
    <w:rsid w:val="00362142"/>
    <w:rsid w:val="003624E3"/>
    <w:rsid w:val="003628D0"/>
    <w:rsid w:val="003632A0"/>
    <w:rsid w:val="003640FE"/>
    <w:rsid w:val="00364721"/>
    <w:rsid w:val="0036524E"/>
    <w:rsid w:val="00365CFC"/>
    <w:rsid w:val="003665F7"/>
    <w:rsid w:val="003673B9"/>
    <w:rsid w:val="0036765A"/>
    <w:rsid w:val="003676DD"/>
    <w:rsid w:val="003677E7"/>
    <w:rsid w:val="003679E9"/>
    <w:rsid w:val="00367E1A"/>
    <w:rsid w:val="00370453"/>
    <w:rsid w:val="00370633"/>
    <w:rsid w:val="00370808"/>
    <w:rsid w:val="003708E2"/>
    <w:rsid w:val="00370C1F"/>
    <w:rsid w:val="00371B79"/>
    <w:rsid w:val="00371F7F"/>
    <w:rsid w:val="00371FC8"/>
    <w:rsid w:val="003722FE"/>
    <w:rsid w:val="00372925"/>
    <w:rsid w:val="00373034"/>
    <w:rsid w:val="00373801"/>
    <w:rsid w:val="00374510"/>
    <w:rsid w:val="00374C6F"/>
    <w:rsid w:val="00375631"/>
    <w:rsid w:val="0037568F"/>
    <w:rsid w:val="0037606C"/>
    <w:rsid w:val="003765D5"/>
    <w:rsid w:val="00376663"/>
    <w:rsid w:val="0037723F"/>
    <w:rsid w:val="0037754E"/>
    <w:rsid w:val="003776C1"/>
    <w:rsid w:val="003778CA"/>
    <w:rsid w:val="00380241"/>
    <w:rsid w:val="0038037C"/>
    <w:rsid w:val="003807DC"/>
    <w:rsid w:val="00380A9E"/>
    <w:rsid w:val="00380EA4"/>
    <w:rsid w:val="003818EC"/>
    <w:rsid w:val="00381B58"/>
    <w:rsid w:val="00382328"/>
    <w:rsid w:val="00382756"/>
    <w:rsid w:val="00382762"/>
    <w:rsid w:val="003827F7"/>
    <w:rsid w:val="00383383"/>
    <w:rsid w:val="00383576"/>
    <w:rsid w:val="003838C9"/>
    <w:rsid w:val="00383E17"/>
    <w:rsid w:val="003841F1"/>
    <w:rsid w:val="003841F7"/>
    <w:rsid w:val="00384621"/>
    <w:rsid w:val="00384677"/>
    <w:rsid w:val="003846F3"/>
    <w:rsid w:val="00385ACC"/>
    <w:rsid w:val="0038618D"/>
    <w:rsid w:val="003864A9"/>
    <w:rsid w:val="003876CA"/>
    <w:rsid w:val="003901D5"/>
    <w:rsid w:val="00390215"/>
    <w:rsid w:val="003912F8"/>
    <w:rsid w:val="00391361"/>
    <w:rsid w:val="00391792"/>
    <w:rsid w:val="0039185C"/>
    <w:rsid w:val="00391D31"/>
    <w:rsid w:val="003924B6"/>
    <w:rsid w:val="0039372F"/>
    <w:rsid w:val="00393F2C"/>
    <w:rsid w:val="003944D9"/>
    <w:rsid w:val="00394D51"/>
    <w:rsid w:val="00395945"/>
    <w:rsid w:val="00395B2A"/>
    <w:rsid w:val="00395D95"/>
    <w:rsid w:val="0039625E"/>
    <w:rsid w:val="00396369"/>
    <w:rsid w:val="003971AC"/>
    <w:rsid w:val="0039779A"/>
    <w:rsid w:val="003A0EDC"/>
    <w:rsid w:val="003A0FBF"/>
    <w:rsid w:val="003A17E5"/>
    <w:rsid w:val="003A1CD1"/>
    <w:rsid w:val="003A2C0D"/>
    <w:rsid w:val="003A2CBB"/>
    <w:rsid w:val="003A318C"/>
    <w:rsid w:val="003A363C"/>
    <w:rsid w:val="003A36C7"/>
    <w:rsid w:val="003A376E"/>
    <w:rsid w:val="003A3922"/>
    <w:rsid w:val="003A3F8B"/>
    <w:rsid w:val="003A3F93"/>
    <w:rsid w:val="003A4BD9"/>
    <w:rsid w:val="003A53E7"/>
    <w:rsid w:val="003A5802"/>
    <w:rsid w:val="003A5DBC"/>
    <w:rsid w:val="003A5DF3"/>
    <w:rsid w:val="003A629C"/>
    <w:rsid w:val="003A6557"/>
    <w:rsid w:val="003A695B"/>
    <w:rsid w:val="003A695D"/>
    <w:rsid w:val="003A6BED"/>
    <w:rsid w:val="003A6E38"/>
    <w:rsid w:val="003A700E"/>
    <w:rsid w:val="003A771F"/>
    <w:rsid w:val="003A77D2"/>
    <w:rsid w:val="003B020A"/>
    <w:rsid w:val="003B058E"/>
    <w:rsid w:val="003B0731"/>
    <w:rsid w:val="003B0819"/>
    <w:rsid w:val="003B0912"/>
    <w:rsid w:val="003B1882"/>
    <w:rsid w:val="003B18D5"/>
    <w:rsid w:val="003B1A51"/>
    <w:rsid w:val="003B1CB0"/>
    <w:rsid w:val="003B1E1C"/>
    <w:rsid w:val="003B2A61"/>
    <w:rsid w:val="003B2EE4"/>
    <w:rsid w:val="003B377E"/>
    <w:rsid w:val="003B41B1"/>
    <w:rsid w:val="003B42F8"/>
    <w:rsid w:val="003B581F"/>
    <w:rsid w:val="003B59C7"/>
    <w:rsid w:val="003B5BC1"/>
    <w:rsid w:val="003B5E1B"/>
    <w:rsid w:val="003B5F0C"/>
    <w:rsid w:val="003B67AE"/>
    <w:rsid w:val="003B691F"/>
    <w:rsid w:val="003B6BFF"/>
    <w:rsid w:val="003B790C"/>
    <w:rsid w:val="003C01B1"/>
    <w:rsid w:val="003C0417"/>
    <w:rsid w:val="003C176B"/>
    <w:rsid w:val="003C17DE"/>
    <w:rsid w:val="003C1F80"/>
    <w:rsid w:val="003C2D4A"/>
    <w:rsid w:val="003C3511"/>
    <w:rsid w:val="003C421C"/>
    <w:rsid w:val="003C43FD"/>
    <w:rsid w:val="003C4532"/>
    <w:rsid w:val="003C47F9"/>
    <w:rsid w:val="003C4D17"/>
    <w:rsid w:val="003C4D30"/>
    <w:rsid w:val="003C5309"/>
    <w:rsid w:val="003C5D94"/>
    <w:rsid w:val="003C6CB0"/>
    <w:rsid w:val="003C6EC3"/>
    <w:rsid w:val="003C71A0"/>
    <w:rsid w:val="003C720D"/>
    <w:rsid w:val="003C7561"/>
    <w:rsid w:val="003D0A43"/>
    <w:rsid w:val="003D1DA1"/>
    <w:rsid w:val="003D2168"/>
    <w:rsid w:val="003D249C"/>
    <w:rsid w:val="003D2A73"/>
    <w:rsid w:val="003D2C46"/>
    <w:rsid w:val="003D3D5B"/>
    <w:rsid w:val="003D4C61"/>
    <w:rsid w:val="003D5B05"/>
    <w:rsid w:val="003D5E62"/>
    <w:rsid w:val="003D5FD8"/>
    <w:rsid w:val="003D6491"/>
    <w:rsid w:val="003D747E"/>
    <w:rsid w:val="003D7ED0"/>
    <w:rsid w:val="003E0435"/>
    <w:rsid w:val="003E0908"/>
    <w:rsid w:val="003E0CDA"/>
    <w:rsid w:val="003E17C4"/>
    <w:rsid w:val="003E205D"/>
    <w:rsid w:val="003E207D"/>
    <w:rsid w:val="003E241C"/>
    <w:rsid w:val="003E2B2C"/>
    <w:rsid w:val="003E3871"/>
    <w:rsid w:val="003E496F"/>
    <w:rsid w:val="003E4A80"/>
    <w:rsid w:val="003E4D39"/>
    <w:rsid w:val="003E59D7"/>
    <w:rsid w:val="003E6087"/>
    <w:rsid w:val="003F06F9"/>
    <w:rsid w:val="003F0711"/>
    <w:rsid w:val="003F1E26"/>
    <w:rsid w:val="003F213A"/>
    <w:rsid w:val="003F21CB"/>
    <w:rsid w:val="003F33AF"/>
    <w:rsid w:val="003F37F6"/>
    <w:rsid w:val="003F4C3C"/>
    <w:rsid w:val="003F4C7C"/>
    <w:rsid w:val="003F4D64"/>
    <w:rsid w:val="003F4EED"/>
    <w:rsid w:val="003F513B"/>
    <w:rsid w:val="003F568D"/>
    <w:rsid w:val="003F59BA"/>
    <w:rsid w:val="003F5A0E"/>
    <w:rsid w:val="003F5BE1"/>
    <w:rsid w:val="003F64DA"/>
    <w:rsid w:val="003F650A"/>
    <w:rsid w:val="003F6A47"/>
    <w:rsid w:val="003F744F"/>
    <w:rsid w:val="003F79E9"/>
    <w:rsid w:val="003F7C75"/>
    <w:rsid w:val="0040068D"/>
    <w:rsid w:val="004008CF"/>
    <w:rsid w:val="004019C4"/>
    <w:rsid w:val="00402357"/>
    <w:rsid w:val="00402562"/>
    <w:rsid w:val="00402675"/>
    <w:rsid w:val="00402C97"/>
    <w:rsid w:val="00402D68"/>
    <w:rsid w:val="00402F2B"/>
    <w:rsid w:val="004037B7"/>
    <w:rsid w:val="004038B1"/>
    <w:rsid w:val="00404E22"/>
    <w:rsid w:val="00404F51"/>
    <w:rsid w:val="0040514E"/>
    <w:rsid w:val="00405EF9"/>
    <w:rsid w:val="00406B61"/>
    <w:rsid w:val="00406BE6"/>
    <w:rsid w:val="00406C47"/>
    <w:rsid w:val="00407081"/>
    <w:rsid w:val="00407B86"/>
    <w:rsid w:val="00407FA0"/>
    <w:rsid w:val="00410080"/>
    <w:rsid w:val="004101A6"/>
    <w:rsid w:val="00410DB5"/>
    <w:rsid w:val="00410E90"/>
    <w:rsid w:val="00410ECF"/>
    <w:rsid w:val="00411B2E"/>
    <w:rsid w:val="00411E0A"/>
    <w:rsid w:val="00411F27"/>
    <w:rsid w:val="00412AF8"/>
    <w:rsid w:val="00412C35"/>
    <w:rsid w:val="004130ED"/>
    <w:rsid w:val="004138DE"/>
    <w:rsid w:val="00414041"/>
    <w:rsid w:val="00414169"/>
    <w:rsid w:val="004146A4"/>
    <w:rsid w:val="00414F53"/>
    <w:rsid w:val="0041536C"/>
    <w:rsid w:val="0041547D"/>
    <w:rsid w:val="00415A61"/>
    <w:rsid w:val="00415CFD"/>
    <w:rsid w:val="00415F5F"/>
    <w:rsid w:val="004160E8"/>
    <w:rsid w:val="00416542"/>
    <w:rsid w:val="00416DFA"/>
    <w:rsid w:val="004174CF"/>
    <w:rsid w:val="004205B9"/>
    <w:rsid w:val="0042068F"/>
    <w:rsid w:val="00420E0B"/>
    <w:rsid w:val="00421694"/>
    <w:rsid w:val="00421D2D"/>
    <w:rsid w:val="00422CAE"/>
    <w:rsid w:val="00422D15"/>
    <w:rsid w:val="0042379D"/>
    <w:rsid w:val="00423DE7"/>
    <w:rsid w:val="00423F0E"/>
    <w:rsid w:val="00424545"/>
    <w:rsid w:val="00424817"/>
    <w:rsid w:val="004248FA"/>
    <w:rsid w:val="00424960"/>
    <w:rsid w:val="0042499F"/>
    <w:rsid w:val="00424F0A"/>
    <w:rsid w:val="00426319"/>
    <w:rsid w:val="004268DF"/>
    <w:rsid w:val="00426C52"/>
    <w:rsid w:val="004270E8"/>
    <w:rsid w:val="00427201"/>
    <w:rsid w:val="00427A0B"/>
    <w:rsid w:val="004300D7"/>
    <w:rsid w:val="004304D6"/>
    <w:rsid w:val="004307DC"/>
    <w:rsid w:val="00430902"/>
    <w:rsid w:val="004316C5"/>
    <w:rsid w:val="0043186B"/>
    <w:rsid w:val="00432902"/>
    <w:rsid w:val="00433140"/>
    <w:rsid w:val="00433421"/>
    <w:rsid w:val="00433624"/>
    <w:rsid w:val="00433699"/>
    <w:rsid w:val="00433C92"/>
    <w:rsid w:val="004341EC"/>
    <w:rsid w:val="004355CC"/>
    <w:rsid w:val="004357E5"/>
    <w:rsid w:val="00435A3F"/>
    <w:rsid w:val="00436421"/>
    <w:rsid w:val="00436514"/>
    <w:rsid w:val="00436A24"/>
    <w:rsid w:val="00436B3B"/>
    <w:rsid w:val="00436B4A"/>
    <w:rsid w:val="00436D22"/>
    <w:rsid w:val="00436DBB"/>
    <w:rsid w:val="00436DDF"/>
    <w:rsid w:val="00437234"/>
    <w:rsid w:val="004376FD"/>
    <w:rsid w:val="00437AC4"/>
    <w:rsid w:val="00437B8F"/>
    <w:rsid w:val="00437F91"/>
    <w:rsid w:val="00440A36"/>
    <w:rsid w:val="00440DE2"/>
    <w:rsid w:val="00440F9C"/>
    <w:rsid w:val="0044101D"/>
    <w:rsid w:val="00441930"/>
    <w:rsid w:val="00442049"/>
    <w:rsid w:val="004421E4"/>
    <w:rsid w:val="00442D6A"/>
    <w:rsid w:val="00443600"/>
    <w:rsid w:val="0044374A"/>
    <w:rsid w:val="0044378A"/>
    <w:rsid w:val="00443DE4"/>
    <w:rsid w:val="004446C0"/>
    <w:rsid w:val="00445066"/>
    <w:rsid w:val="004469EB"/>
    <w:rsid w:val="00447166"/>
    <w:rsid w:val="004471B6"/>
    <w:rsid w:val="00447463"/>
    <w:rsid w:val="0044785F"/>
    <w:rsid w:val="00447AF9"/>
    <w:rsid w:val="00447C79"/>
    <w:rsid w:val="00447FA5"/>
    <w:rsid w:val="004500DF"/>
    <w:rsid w:val="004501E7"/>
    <w:rsid w:val="004502A2"/>
    <w:rsid w:val="0045074A"/>
    <w:rsid w:val="00450A8E"/>
    <w:rsid w:val="0045148B"/>
    <w:rsid w:val="00451958"/>
    <w:rsid w:val="00452430"/>
    <w:rsid w:val="004527AC"/>
    <w:rsid w:val="00452A4C"/>
    <w:rsid w:val="00452E67"/>
    <w:rsid w:val="0045307F"/>
    <w:rsid w:val="004534B5"/>
    <w:rsid w:val="004537F3"/>
    <w:rsid w:val="0045396A"/>
    <w:rsid w:val="00453D8B"/>
    <w:rsid w:val="004553A9"/>
    <w:rsid w:val="0045598E"/>
    <w:rsid w:val="004568C8"/>
    <w:rsid w:val="00456C91"/>
    <w:rsid w:val="00456E8D"/>
    <w:rsid w:val="0045759C"/>
    <w:rsid w:val="004600DE"/>
    <w:rsid w:val="00460226"/>
    <w:rsid w:val="004607A0"/>
    <w:rsid w:val="004607BD"/>
    <w:rsid w:val="004611C6"/>
    <w:rsid w:val="00462D72"/>
    <w:rsid w:val="00462F9F"/>
    <w:rsid w:val="0046307F"/>
    <w:rsid w:val="00463373"/>
    <w:rsid w:val="004648A2"/>
    <w:rsid w:val="004648FE"/>
    <w:rsid w:val="00464C9A"/>
    <w:rsid w:val="00465137"/>
    <w:rsid w:val="00465B28"/>
    <w:rsid w:val="00465D89"/>
    <w:rsid w:val="00465D9D"/>
    <w:rsid w:val="00465F21"/>
    <w:rsid w:val="004662E1"/>
    <w:rsid w:val="00466BC4"/>
    <w:rsid w:val="00466F14"/>
    <w:rsid w:val="00466F48"/>
    <w:rsid w:val="004670A3"/>
    <w:rsid w:val="00467A2A"/>
    <w:rsid w:val="00467C38"/>
    <w:rsid w:val="004703D7"/>
    <w:rsid w:val="004704A8"/>
    <w:rsid w:val="00470779"/>
    <w:rsid w:val="00470C36"/>
    <w:rsid w:val="00471096"/>
    <w:rsid w:val="004719C4"/>
    <w:rsid w:val="00471B19"/>
    <w:rsid w:val="00472685"/>
    <w:rsid w:val="0047284C"/>
    <w:rsid w:val="00472A1B"/>
    <w:rsid w:val="004731C4"/>
    <w:rsid w:val="0047362A"/>
    <w:rsid w:val="00473772"/>
    <w:rsid w:val="004738F0"/>
    <w:rsid w:val="00474212"/>
    <w:rsid w:val="00474B50"/>
    <w:rsid w:val="004752EE"/>
    <w:rsid w:val="004755C4"/>
    <w:rsid w:val="00475630"/>
    <w:rsid w:val="00475BEE"/>
    <w:rsid w:val="00475CA5"/>
    <w:rsid w:val="004761D3"/>
    <w:rsid w:val="0047641C"/>
    <w:rsid w:val="004766A9"/>
    <w:rsid w:val="0047689B"/>
    <w:rsid w:val="004768FA"/>
    <w:rsid w:val="00477103"/>
    <w:rsid w:val="00477283"/>
    <w:rsid w:val="00477AA5"/>
    <w:rsid w:val="0048064C"/>
    <w:rsid w:val="0048090C"/>
    <w:rsid w:val="00480FA6"/>
    <w:rsid w:val="0048100C"/>
    <w:rsid w:val="004818EA"/>
    <w:rsid w:val="00481B22"/>
    <w:rsid w:val="004825B4"/>
    <w:rsid w:val="00483076"/>
    <w:rsid w:val="004830E2"/>
    <w:rsid w:val="0048331B"/>
    <w:rsid w:val="00484473"/>
    <w:rsid w:val="00484921"/>
    <w:rsid w:val="00485D4E"/>
    <w:rsid w:val="004861DB"/>
    <w:rsid w:val="00486776"/>
    <w:rsid w:val="004879B0"/>
    <w:rsid w:val="00490229"/>
    <w:rsid w:val="00490E90"/>
    <w:rsid w:val="00491596"/>
    <w:rsid w:val="0049173E"/>
    <w:rsid w:val="00491B56"/>
    <w:rsid w:val="00492267"/>
    <w:rsid w:val="004927E5"/>
    <w:rsid w:val="00492E31"/>
    <w:rsid w:val="00492EC2"/>
    <w:rsid w:val="00493653"/>
    <w:rsid w:val="00493720"/>
    <w:rsid w:val="00493BDA"/>
    <w:rsid w:val="00493C39"/>
    <w:rsid w:val="00494456"/>
    <w:rsid w:val="00494BBD"/>
    <w:rsid w:val="00494C34"/>
    <w:rsid w:val="00494C64"/>
    <w:rsid w:val="004954F4"/>
    <w:rsid w:val="00495743"/>
    <w:rsid w:val="00495BD1"/>
    <w:rsid w:val="00496376"/>
    <w:rsid w:val="00496837"/>
    <w:rsid w:val="0049690A"/>
    <w:rsid w:val="00496C08"/>
    <w:rsid w:val="0049702E"/>
    <w:rsid w:val="00497431"/>
    <w:rsid w:val="00497DC2"/>
    <w:rsid w:val="004A0281"/>
    <w:rsid w:val="004A0837"/>
    <w:rsid w:val="004A13DE"/>
    <w:rsid w:val="004A1474"/>
    <w:rsid w:val="004A1872"/>
    <w:rsid w:val="004A1C39"/>
    <w:rsid w:val="004A2050"/>
    <w:rsid w:val="004A2CA7"/>
    <w:rsid w:val="004A2E9F"/>
    <w:rsid w:val="004A2FA9"/>
    <w:rsid w:val="004A32FB"/>
    <w:rsid w:val="004A35AF"/>
    <w:rsid w:val="004A39D1"/>
    <w:rsid w:val="004A4158"/>
    <w:rsid w:val="004A4AB3"/>
    <w:rsid w:val="004A5AF5"/>
    <w:rsid w:val="004A5EBB"/>
    <w:rsid w:val="004A6A95"/>
    <w:rsid w:val="004A6B50"/>
    <w:rsid w:val="004A7243"/>
    <w:rsid w:val="004A736F"/>
    <w:rsid w:val="004A7A59"/>
    <w:rsid w:val="004A7EC8"/>
    <w:rsid w:val="004B00A7"/>
    <w:rsid w:val="004B01BE"/>
    <w:rsid w:val="004B0610"/>
    <w:rsid w:val="004B0944"/>
    <w:rsid w:val="004B0B7C"/>
    <w:rsid w:val="004B0C4D"/>
    <w:rsid w:val="004B0D19"/>
    <w:rsid w:val="004B10CD"/>
    <w:rsid w:val="004B1943"/>
    <w:rsid w:val="004B1B5B"/>
    <w:rsid w:val="004B1E29"/>
    <w:rsid w:val="004B2109"/>
    <w:rsid w:val="004B2204"/>
    <w:rsid w:val="004B234C"/>
    <w:rsid w:val="004B25AB"/>
    <w:rsid w:val="004B37EB"/>
    <w:rsid w:val="004B3BAD"/>
    <w:rsid w:val="004B3C49"/>
    <w:rsid w:val="004B44BD"/>
    <w:rsid w:val="004B509A"/>
    <w:rsid w:val="004B5121"/>
    <w:rsid w:val="004B51DE"/>
    <w:rsid w:val="004B5569"/>
    <w:rsid w:val="004B5E99"/>
    <w:rsid w:val="004B71EA"/>
    <w:rsid w:val="004B7275"/>
    <w:rsid w:val="004B76EE"/>
    <w:rsid w:val="004B795B"/>
    <w:rsid w:val="004B7BA1"/>
    <w:rsid w:val="004B7D78"/>
    <w:rsid w:val="004B7E32"/>
    <w:rsid w:val="004C070D"/>
    <w:rsid w:val="004C0755"/>
    <w:rsid w:val="004C090D"/>
    <w:rsid w:val="004C155A"/>
    <w:rsid w:val="004C17D1"/>
    <w:rsid w:val="004C1B79"/>
    <w:rsid w:val="004C1BBA"/>
    <w:rsid w:val="004C21C3"/>
    <w:rsid w:val="004C220F"/>
    <w:rsid w:val="004C32BF"/>
    <w:rsid w:val="004C333C"/>
    <w:rsid w:val="004C49C5"/>
    <w:rsid w:val="004C4EDC"/>
    <w:rsid w:val="004C5FD2"/>
    <w:rsid w:val="004C6513"/>
    <w:rsid w:val="004C6B20"/>
    <w:rsid w:val="004C767A"/>
    <w:rsid w:val="004C7A5C"/>
    <w:rsid w:val="004C7E6F"/>
    <w:rsid w:val="004C7FCC"/>
    <w:rsid w:val="004D003C"/>
    <w:rsid w:val="004D00F8"/>
    <w:rsid w:val="004D07AF"/>
    <w:rsid w:val="004D27C7"/>
    <w:rsid w:val="004D2F1E"/>
    <w:rsid w:val="004D318C"/>
    <w:rsid w:val="004D35EE"/>
    <w:rsid w:val="004D38B0"/>
    <w:rsid w:val="004D3B60"/>
    <w:rsid w:val="004D3B73"/>
    <w:rsid w:val="004D3FD4"/>
    <w:rsid w:val="004D4068"/>
    <w:rsid w:val="004D4280"/>
    <w:rsid w:val="004D4E86"/>
    <w:rsid w:val="004D4EEA"/>
    <w:rsid w:val="004D5190"/>
    <w:rsid w:val="004D5B70"/>
    <w:rsid w:val="004D5E3D"/>
    <w:rsid w:val="004D61A7"/>
    <w:rsid w:val="004D67F4"/>
    <w:rsid w:val="004D7623"/>
    <w:rsid w:val="004E118E"/>
    <w:rsid w:val="004E1444"/>
    <w:rsid w:val="004E1790"/>
    <w:rsid w:val="004E2B47"/>
    <w:rsid w:val="004E2C28"/>
    <w:rsid w:val="004E300C"/>
    <w:rsid w:val="004E3992"/>
    <w:rsid w:val="004E3E27"/>
    <w:rsid w:val="004E3E9F"/>
    <w:rsid w:val="004E4780"/>
    <w:rsid w:val="004E498A"/>
    <w:rsid w:val="004E50C5"/>
    <w:rsid w:val="004E5FA0"/>
    <w:rsid w:val="004E61F0"/>
    <w:rsid w:val="004E65BF"/>
    <w:rsid w:val="004E6A87"/>
    <w:rsid w:val="004E6A96"/>
    <w:rsid w:val="004E710D"/>
    <w:rsid w:val="004E77E6"/>
    <w:rsid w:val="004E79E8"/>
    <w:rsid w:val="004E7B89"/>
    <w:rsid w:val="004E7D5A"/>
    <w:rsid w:val="004E7F91"/>
    <w:rsid w:val="004F06F1"/>
    <w:rsid w:val="004F1117"/>
    <w:rsid w:val="004F11F2"/>
    <w:rsid w:val="004F1A90"/>
    <w:rsid w:val="004F2272"/>
    <w:rsid w:val="004F23D9"/>
    <w:rsid w:val="004F2583"/>
    <w:rsid w:val="004F266C"/>
    <w:rsid w:val="004F2B23"/>
    <w:rsid w:val="004F30D7"/>
    <w:rsid w:val="004F3172"/>
    <w:rsid w:val="004F35BF"/>
    <w:rsid w:val="004F3D91"/>
    <w:rsid w:val="004F4035"/>
    <w:rsid w:val="004F480F"/>
    <w:rsid w:val="004F496D"/>
    <w:rsid w:val="004F4AC3"/>
    <w:rsid w:val="004F5428"/>
    <w:rsid w:val="004F561D"/>
    <w:rsid w:val="004F6143"/>
    <w:rsid w:val="004F6405"/>
    <w:rsid w:val="004F642C"/>
    <w:rsid w:val="004F6DE5"/>
    <w:rsid w:val="004F76D0"/>
    <w:rsid w:val="0050051A"/>
    <w:rsid w:val="0050051B"/>
    <w:rsid w:val="00500746"/>
    <w:rsid w:val="00500B1D"/>
    <w:rsid w:val="005014A4"/>
    <w:rsid w:val="00501640"/>
    <w:rsid w:val="005018B7"/>
    <w:rsid w:val="00501C45"/>
    <w:rsid w:val="005027FA"/>
    <w:rsid w:val="00502DD2"/>
    <w:rsid w:val="00503A02"/>
    <w:rsid w:val="00503FAB"/>
    <w:rsid w:val="005046BA"/>
    <w:rsid w:val="00504A42"/>
    <w:rsid w:val="00504AE5"/>
    <w:rsid w:val="00504B95"/>
    <w:rsid w:val="00504E03"/>
    <w:rsid w:val="00506300"/>
    <w:rsid w:val="005065F7"/>
    <w:rsid w:val="005068E4"/>
    <w:rsid w:val="005069F6"/>
    <w:rsid w:val="00506C24"/>
    <w:rsid w:val="005075A1"/>
    <w:rsid w:val="0050760A"/>
    <w:rsid w:val="005100A1"/>
    <w:rsid w:val="0051017B"/>
    <w:rsid w:val="00510A9A"/>
    <w:rsid w:val="005110CD"/>
    <w:rsid w:val="00511865"/>
    <w:rsid w:val="0051194D"/>
    <w:rsid w:val="00511BF5"/>
    <w:rsid w:val="0051224E"/>
    <w:rsid w:val="00512B51"/>
    <w:rsid w:val="00512CA0"/>
    <w:rsid w:val="00512D16"/>
    <w:rsid w:val="00512D40"/>
    <w:rsid w:val="00512E24"/>
    <w:rsid w:val="00513159"/>
    <w:rsid w:val="005138FE"/>
    <w:rsid w:val="00513FE0"/>
    <w:rsid w:val="005141E4"/>
    <w:rsid w:val="005142DF"/>
    <w:rsid w:val="005143E9"/>
    <w:rsid w:val="00514631"/>
    <w:rsid w:val="00514C8D"/>
    <w:rsid w:val="00515284"/>
    <w:rsid w:val="00515BC2"/>
    <w:rsid w:val="005161B0"/>
    <w:rsid w:val="005163FA"/>
    <w:rsid w:val="00516767"/>
    <w:rsid w:val="005168E9"/>
    <w:rsid w:val="00516E43"/>
    <w:rsid w:val="005174C8"/>
    <w:rsid w:val="00520D2E"/>
    <w:rsid w:val="0052100B"/>
    <w:rsid w:val="00521339"/>
    <w:rsid w:val="005217C1"/>
    <w:rsid w:val="0052194A"/>
    <w:rsid w:val="00521E00"/>
    <w:rsid w:val="005221BE"/>
    <w:rsid w:val="00522421"/>
    <w:rsid w:val="00522538"/>
    <w:rsid w:val="00523308"/>
    <w:rsid w:val="00523A23"/>
    <w:rsid w:val="00523C0A"/>
    <w:rsid w:val="00524A94"/>
    <w:rsid w:val="00524AA0"/>
    <w:rsid w:val="00524BB1"/>
    <w:rsid w:val="005257E4"/>
    <w:rsid w:val="00525876"/>
    <w:rsid w:val="00525FC6"/>
    <w:rsid w:val="00527135"/>
    <w:rsid w:val="00527342"/>
    <w:rsid w:val="00527A25"/>
    <w:rsid w:val="00527DD7"/>
    <w:rsid w:val="005303B3"/>
    <w:rsid w:val="005306F7"/>
    <w:rsid w:val="00530CD3"/>
    <w:rsid w:val="00530D3C"/>
    <w:rsid w:val="005310A4"/>
    <w:rsid w:val="005312F8"/>
    <w:rsid w:val="0053167B"/>
    <w:rsid w:val="00531953"/>
    <w:rsid w:val="00531AB2"/>
    <w:rsid w:val="00531CAC"/>
    <w:rsid w:val="00531E4F"/>
    <w:rsid w:val="00531EEA"/>
    <w:rsid w:val="005328BA"/>
    <w:rsid w:val="0053342D"/>
    <w:rsid w:val="00533E76"/>
    <w:rsid w:val="00533FDF"/>
    <w:rsid w:val="0053458F"/>
    <w:rsid w:val="0053509B"/>
    <w:rsid w:val="00535541"/>
    <w:rsid w:val="00535C0A"/>
    <w:rsid w:val="00535FFB"/>
    <w:rsid w:val="00536FC8"/>
    <w:rsid w:val="0053710C"/>
    <w:rsid w:val="00537A40"/>
    <w:rsid w:val="005401E8"/>
    <w:rsid w:val="00540269"/>
    <w:rsid w:val="0054055D"/>
    <w:rsid w:val="00540BEB"/>
    <w:rsid w:val="00540C90"/>
    <w:rsid w:val="00540D22"/>
    <w:rsid w:val="00540E3E"/>
    <w:rsid w:val="005411E0"/>
    <w:rsid w:val="00541A5A"/>
    <w:rsid w:val="00541C02"/>
    <w:rsid w:val="005423A6"/>
    <w:rsid w:val="00542433"/>
    <w:rsid w:val="005432C2"/>
    <w:rsid w:val="00543339"/>
    <w:rsid w:val="00543D49"/>
    <w:rsid w:val="0054468F"/>
    <w:rsid w:val="00544694"/>
    <w:rsid w:val="00544781"/>
    <w:rsid w:val="00544E1A"/>
    <w:rsid w:val="00544E22"/>
    <w:rsid w:val="00545DA1"/>
    <w:rsid w:val="005470C4"/>
    <w:rsid w:val="005479CE"/>
    <w:rsid w:val="00547F23"/>
    <w:rsid w:val="005509EE"/>
    <w:rsid w:val="00550D33"/>
    <w:rsid w:val="005510C4"/>
    <w:rsid w:val="00551493"/>
    <w:rsid w:val="00551772"/>
    <w:rsid w:val="00551AE7"/>
    <w:rsid w:val="00551E1F"/>
    <w:rsid w:val="00551E54"/>
    <w:rsid w:val="00552188"/>
    <w:rsid w:val="00552780"/>
    <w:rsid w:val="00552EF5"/>
    <w:rsid w:val="0055332C"/>
    <w:rsid w:val="005538A8"/>
    <w:rsid w:val="0055394D"/>
    <w:rsid w:val="00553E30"/>
    <w:rsid w:val="00553F4F"/>
    <w:rsid w:val="0055435E"/>
    <w:rsid w:val="005545B7"/>
    <w:rsid w:val="00554E08"/>
    <w:rsid w:val="00555EC4"/>
    <w:rsid w:val="00556087"/>
    <w:rsid w:val="0055619C"/>
    <w:rsid w:val="00556C4C"/>
    <w:rsid w:val="005575B7"/>
    <w:rsid w:val="00560072"/>
    <w:rsid w:val="0056017B"/>
    <w:rsid w:val="00560AB8"/>
    <w:rsid w:val="00560D12"/>
    <w:rsid w:val="00560EF8"/>
    <w:rsid w:val="00561297"/>
    <w:rsid w:val="005619D5"/>
    <w:rsid w:val="00561D33"/>
    <w:rsid w:val="00561F2A"/>
    <w:rsid w:val="00561F88"/>
    <w:rsid w:val="0056259C"/>
    <w:rsid w:val="0056271B"/>
    <w:rsid w:val="00562CF1"/>
    <w:rsid w:val="00562EE2"/>
    <w:rsid w:val="00563837"/>
    <w:rsid w:val="00563ED8"/>
    <w:rsid w:val="00565147"/>
    <w:rsid w:val="005656A0"/>
    <w:rsid w:val="00565997"/>
    <w:rsid w:val="00565A61"/>
    <w:rsid w:val="00565A7D"/>
    <w:rsid w:val="00565E6F"/>
    <w:rsid w:val="005667BB"/>
    <w:rsid w:val="00567E77"/>
    <w:rsid w:val="0057068D"/>
    <w:rsid w:val="00570BA3"/>
    <w:rsid w:val="00570D07"/>
    <w:rsid w:val="00570FAE"/>
    <w:rsid w:val="005711A3"/>
    <w:rsid w:val="005712DC"/>
    <w:rsid w:val="00571469"/>
    <w:rsid w:val="0057233C"/>
    <w:rsid w:val="0057420C"/>
    <w:rsid w:val="00574BFA"/>
    <w:rsid w:val="00574D18"/>
    <w:rsid w:val="00575267"/>
    <w:rsid w:val="0057526D"/>
    <w:rsid w:val="00575359"/>
    <w:rsid w:val="005756F4"/>
    <w:rsid w:val="00575AF5"/>
    <w:rsid w:val="00575B2B"/>
    <w:rsid w:val="00575D48"/>
    <w:rsid w:val="005761FB"/>
    <w:rsid w:val="0057629F"/>
    <w:rsid w:val="005762DD"/>
    <w:rsid w:val="00576B0B"/>
    <w:rsid w:val="00576BBF"/>
    <w:rsid w:val="005778A9"/>
    <w:rsid w:val="00577DD9"/>
    <w:rsid w:val="005801D4"/>
    <w:rsid w:val="005804AF"/>
    <w:rsid w:val="005804E3"/>
    <w:rsid w:val="00580D20"/>
    <w:rsid w:val="005815B0"/>
    <w:rsid w:val="00582384"/>
    <w:rsid w:val="005826C8"/>
    <w:rsid w:val="00582C9C"/>
    <w:rsid w:val="00582D39"/>
    <w:rsid w:val="00582DD7"/>
    <w:rsid w:val="00582FEF"/>
    <w:rsid w:val="005837C0"/>
    <w:rsid w:val="00583C89"/>
    <w:rsid w:val="00583D2B"/>
    <w:rsid w:val="00583FE5"/>
    <w:rsid w:val="005841A5"/>
    <w:rsid w:val="00584434"/>
    <w:rsid w:val="005854AB"/>
    <w:rsid w:val="00585C42"/>
    <w:rsid w:val="00585E73"/>
    <w:rsid w:val="0058616B"/>
    <w:rsid w:val="00586371"/>
    <w:rsid w:val="005865F7"/>
    <w:rsid w:val="00586668"/>
    <w:rsid w:val="00586DC8"/>
    <w:rsid w:val="0058727E"/>
    <w:rsid w:val="005875CB"/>
    <w:rsid w:val="00593F75"/>
    <w:rsid w:val="00594050"/>
    <w:rsid w:val="005941E6"/>
    <w:rsid w:val="0059515E"/>
    <w:rsid w:val="00595678"/>
    <w:rsid w:val="0059635B"/>
    <w:rsid w:val="0059677C"/>
    <w:rsid w:val="005972C9"/>
    <w:rsid w:val="00597A6A"/>
    <w:rsid w:val="00597C78"/>
    <w:rsid w:val="005A011B"/>
    <w:rsid w:val="005A07BA"/>
    <w:rsid w:val="005A0939"/>
    <w:rsid w:val="005A0959"/>
    <w:rsid w:val="005A1107"/>
    <w:rsid w:val="005A1230"/>
    <w:rsid w:val="005A1863"/>
    <w:rsid w:val="005A18BE"/>
    <w:rsid w:val="005A2BD8"/>
    <w:rsid w:val="005A32DA"/>
    <w:rsid w:val="005A33D7"/>
    <w:rsid w:val="005A3699"/>
    <w:rsid w:val="005A3B56"/>
    <w:rsid w:val="005A3F49"/>
    <w:rsid w:val="005A406B"/>
    <w:rsid w:val="005A4C49"/>
    <w:rsid w:val="005A4FC6"/>
    <w:rsid w:val="005A53C7"/>
    <w:rsid w:val="005A5715"/>
    <w:rsid w:val="005A6B25"/>
    <w:rsid w:val="005A6E68"/>
    <w:rsid w:val="005A700F"/>
    <w:rsid w:val="005A735B"/>
    <w:rsid w:val="005A7AE3"/>
    <w:rsid w:val="005A7C1D"/>
    <w:rsid w:val="005B037D"/>
    <w:rsid w:val="005B1408"/>
    <w:rsid w:val="005B16CF"/>
    <w:rsid w:val="005B214E"/>
    <w:rsid w:val="005B22F4"/>
    <w:rsid w:val="005B2567"/>
    <w:rsid w:val="005B27E3"/>
    <w:rsid w:val="005B371B"/>
    <w:rsid w:val="005B3D38"/>
    <w:rsid w:val="005B4764"/>
    <w:rsid w:val="005B49CD"/>
    <w:rsid w:val="005B50E2"/>
    <w:rsid w:val="005B52E0"/>
    <w:rsid w:val="005B6404"/>
    <w:rsid w:val="005B6674"/>
    <w:rsid w:val="005B673D"/>
    <w:rsid w:val="005B77D1"/>
    <w:rsid w:val="005B77D9"/>
    <w:rsid w:val="005C00ED"/>
    <w:rsid w:val="005C0278"/>
    <w:rsid w:val="005C1074"/>
    <w:rsid w:val="005C1B35"/>
    <w:rsid w:val="005C2712"/>
    <w:rsid w:val="005C3539"/>
    <w:rsid w:val="005C3F5A"/>
    <w:rsid w:val="005C4219"/>
    <w:rsid w:val="005C4593"/>
    <w:rsid w:val="005C54CC"/>
    <w:rsid w:val="005C586C"/>
    <w:rsid w:val="005C5A8C"/>
    <w:rsid w:val="005C60E6"/>
    <w:rsid w:val="005C6181"/>
    <w:rsid w:val="005C63CF"/>
    <w:rsid w:val="005C6626"/>
    <w:rsid w:val="005C6962"/>
    <w:rsid w:val="005C7068"/>
    <w:rsid w:val="005C732B"/>
    <w:rsid w:val="005C78D1"/>
    <w:rsid w:val="005C78F5"/>
    <w:rsid w:val="005C7DC6"/>
    <w:rsid w:val="005D049C"/>
    <w:rsid w:val="005D054C"/>
    <w:rsid w:val="005D09B4"/>
    <w:rsid w:val="005D0D58"/>
    <w:rsid w:val="005D2218"/>
    <w:rsid w:val="005D2C9D"/>
    <w:rsid w:val="005D35DA"/>
    <w:rsid w:val="005D3790"/>
    <w:rsid w:val="005D3907"/>
    <w:rsid w:val="005D447A"/>
    <w:rsid w:val="005D46BF"/>
    <w:rsid w:val="005D4CE2"/>
    <w:rsid w:val="005D4F8E"/>
    <w:rsid w:val="005D619C"/>
    <w:rsid w:val="005D6C38"/>
    <w:rsid w:val="005E01A7"/>
    <w:rsid w:val="005E0581"/>
    <w:rsid w:val="005E0A3D"/>
    <w:rsid w:val="005E0ADD"/>
    <w:rsid w:val="005E0B32"/>
    <w:rsid w:val="005E17D8"/>
    <w:rsid w:val="005E1802"/>
    <w:rsid w:val="005E2C02"/>
    <w:rsid w:val="005E41BD"/>
    <w:rsid w:val="005E442E"/>
    <w:rsid w:val="005E472B"/>
    <w:rsid w:val="005E47C7"/>
    <w:rsid w:val="005E47F9"/>
    <w:rsid w:val="005E48C8"/>
    <w:rsid w:val="005E5068"/>
    <w:rsid w:val="005E61C5"/>
    <w:rsid w:val="005E647D"/>
    <w:rsid w:val="005E64EF"/>
    <w:rsid w:val="005E65E3"/>
    <w:rsid w:val="005E6840"/>
    <w:rsid w:val="005E6863"/>
    <w:rsid w:val="005E6A94"/>
    <w:rsid w:val="005E6BDE"/>
    <w:rsid w:val="005E6E99"/>
    <w:rsid w:val="005E7190"/>
    <w:rsid w:val="005E71B0"/>
    <w:rsid w:val="005E7660"/>
    <w:rsid w:val="005E7A9F"/>
    <w:rsid w:val="005E7C73"/>
    <w:rsid w:val="005E7E78"/>
    <w:rsid w:val="005E7FF0"/>
    <w:rsid w:val="005F05D7"/>
    <w:rsid w:val="005F0DFB"/>
    <w:rsid w:val="005F1AAA"/>
    <w:rsid w:val="005F1C76"/>
    <w:rsid w:val="005F25C3"/>
    <w:rsid w:val="005F2666"/>
    <w:rsid w:val="005F33A5"/>
    <w:rsid w:val="005F3A87"/>
    <w:rsid w:val="005F3B2C"/>
    <w:rsid w:val="005F3FED"/>
    <w:rsid w:val="005F4AD3"/>
    <w:rsid w:val="005F51F4"/>
    <w:rsid w:val="005F5DE3"/>
    <w:rsid w:val="005F692A"/>
    <w:rsid w:val="005F6CC8"/>
    <w:rsid w:val="006001EA"/>
    <w:rsid w:val="00600394"/>
    <w:rsid w:val="00600554"/>
    <w:rsid w:val="006005BA"/>
    <w:rsid w:val="006009B8"/>
    <w:rsid w:val="00600C2D"/>
    <w:rsid w:val="00600FD8"/>
    <w:rsid w:val="006012DD"/>
    <w:rsid w:val="00601A52"/>
    <w:rsid w:val="0060338D"/>
    <w:rsid w:val="00603A57"/>
    <w:rsid w:val="006043A9"/>
    <w:rsid w:val="006048A5"/>
    <w:rsid w:val="00604AB7"/>
    <w:rsid w:val="00605419"/>
    <w:rsid w:val="0060596A"/>
    <w:rsid w:val="00605B18"/>
    <w:rsid w:val="006060BA"/>
    <w:rsid w:val="006065F9"/>
    <w:rsid w:val="00606816"/>
    <w:rsid w:val="00606D6E"/>
    <w:rsid w:val="00606F00"/>
    <w:rsid w:val="00607C96"/>
    <w:rsid w:val="00610105"/>
    <w:rsid w:val="00610AB9"/>
    <w:rsid w:val="00611CE0"/>
    <w:rsid w:val="00611D79"/>
    <w:rsid w:val="00611FB6"/>
    <w:rsid w:val="0061290A"/>
    <w:rsid w:val="00612DC2"/>
    <w:rsid w:val="00613255"/>
    <w:rsid w:val="00613641"/>
    <w:rsid w:val="0061571B"/>
    <w:rsid w:val="0061600C"/>
    <w:rsid w:val="006168D5"/>
    <w:rsid w:val="00617148"/>
    <w:rsid w:val="006173CB"/>
    <w:rsid w:val="006174AB"/>
    <w:rsid w:val="00617A3C"/>
    <w:rsid w:val="00617E29"/>
    <w:rsid w:val="006200E2"/>
    <w:rsid w:val="00620980"/>
    <w:rsid w:val="00620F72"/>
    <w:rsid w:val="00621537"/>
    <w:rsid w:val="0062167B"/>
    <w:rsid w:val="0062292B"/>
    <w:rsid w:val="00622BCC"/>
    <w:rsid w:val="0062432F"/>
    <w:rsid w:val="006246B6"/>
    <w:rsid w:val="006264C6"/>
    <w:rsid w:val="006269F3"/>
    <w:rsid w:val="00626F49"/>
    <w:rsid w:val="0062774F"/>
    <w:rsid w:val="0062790C"/>
    <w:rsid w:val="006309E4"/>
    <w:rsid w:val="00631113"/>
    <w:rsid w:val="00631AD7"/>
    <w:rsid w:val="00631DFD"/>
    <w:rsid w:val="00631EE7"/>
    <w:rsid w:val="0063218C"/>
    <w:rsid w:val="00632692"/>
    <w:rsid w:val="00632967"/>
    <w:rsid w:val="00632C96"/>
    <w:rsid w:val="00633C3E"/>
    <w:rsid w:val="00633E72"/>
    <w:rsid w:val="00634A9B"/>
    <w:rsid w:val="006350CB"/>
    <w:rsid w:val="00635A4A"/>
    <w:rsid w:val="00635BF7"/>
    <w:rsid w:val="00636345"/>
    <w:rsid w:val="00636928"/>
    <w:rsid w:val="00636E45"/>
    <w:rsid w:val="00637451"/>
    <w:rsid w:val="0063755D"/>
    <w:rsid w:val="00637601"/>
    <w:rsid w:val="00640967"/>
    <w:rsid w:val="00640DB9"/>
    <w:rsid w:val="0064271F"/>
    <w:rsid w:val="00642781"/>
    <w:rsid w:val="006430B3"/>
    <w:rsid w:val="00643659"/>
    <w:rsid w:val="00643736"/>
    <w:rsid w:val="00643EDA"/>
    <w:rsid w:val="0064460B"/>
    <w:rsid w:val="00644734"/>
    <w:rsid w:val="00644C89"/>
    <w:rsid w:val="00644F7E"/>
    <w:rsid w:val="00644FD5"/>
    <w:rsid w:val="00645B7C"/>
    <w:rsid w:val="00645F64"/>
    <w:rsid w:val="006460A7"/>
    <w:rsid w:val="0064629D"/>
    <w:rsid w:val="0064667C"/>
    <w:rsid w:val="00646A87"/>
    <w:rsid w:val="00646E6F"/>
    <w:rsid w:val="0064707E"/>
    <w:rsid w:val="006477AF"/>
    <w:rsid w:val="00647E0C"/>
    <w:rsid w:val="00647E2A"/>
    <w:rsid w:val="00650540"/>
    <w:rsid w:val="00650CC7"/>
    <w:rsid w:val="00650DC6"/>
    <w:rsid w:val="006517E9"/>
    <w:rsid w:val="00651CB0"/>
    <w:rsid w:val="00651E65"/>
    <w:rsid w:val="00651F57"/>
    <w:rsid w:val="00652664"/>
    <w:rsid w:val="0065318C"/>
    <w:rsid w:val="00653CF3"/>
    <w:rsid w:val="00653FE2"/>
    <w:rsid w:val="00654388"/>
    <w:rsid w:val="00654FA9"/>
    <w:rsid w:val="006554D9"/>
    <w:rsid w:val="00655A27"/>
    <w:rsid w:val="006560CA"/>
    <w:rsid w:val="006566CD"/>
    <w:rsid w:val="00656DBC"/>
    <w:rsid w:val="00657432"/>
    <w:rsid w:val="006574B4"/>
    <w:rsid w:val="00657B63"/>
    <w:rsid w:val="00657D31"/>
    <w:rsid w:val="00660235"/>
    <w:rsid w:val="00660C27"/>
    <w:rsid w:val="006610A7"/>
    <w:rsid w:val="006611F3"/>
    <w:rsid w:val="006613FD"/>
    <w:rsid w:val="00661783"/>
    <w:rsid w:val="00661C5C"/>
    <w:rsid w:val="00661C9C"/>
    <w:rsid w:val="00661E7E"/>
    <w:rsid w:val="0066245E"/>
    <w:rsid w:val="006624AD"/>
    <w:rsid w:val="00662E84"/>
    <w:rsid w:val="00662FA9"/>
    <w:rsid w:val="006645D0"/>
    <w:rsid w:val="00664758"/>
    <w:rsid w:val="00665221"/>
    <w:rsid w:val="00665274"/>
    <w:rsid w:val="006655D3"/>
    <w:rsid w:val="00665D34"/>
    <w:rsid w:val="00666250"/>
    <w:rsid w:val="006662D5"/>
    <w:rsid w:val="00666AAD"/>
    <w:rsid w:val="00666CA3"/>
    <w:rsid w:val="00666D7B"/>
    <w:rsid w:val="00667074"/>
    <w:rsid w:val="006674E2"/>
    <w:rsid w:val="006674E8"/>
    <w:rsid w:val="00667767"/>
    <w:rsid w:val="00667779"/>
    <w:rsid w:val="00667B40"/>
    <w:rsid w:val="00667B71"/>
    <w:rsid w:val="00667EBA"/>
    <w:rsid w:val="0067032E"/>
    <w:rsid w:val="0067055B"/>
    <w:rsid w:val="00670692"/>
    <w:rsid w:val="00670A2D"/>
    <w:rsid w:val="00670E7C"/>
    <w:rsid w:val="00671146"/>
    <w:rsid w:val="0067117B"/>
    <w:rsid w:val="0067134C"/>
    <w:rsid w:val="00671803"/>
    <w:rsid w:val="006723C3"/>
    <w:rsid w:val="006727D6"/>
    <w:rsid w:val="00672BC9"/>
    <w:rsid w:val="0067344E"/>
    <w:rsid w:val="00673F6E"/>
    <w:rsid w:val="00674269"/>
    <w:rsid w:val="006744C6"/>
    <w:rsid w:val="0067553F"/>
    <w:rsid w:val="00675C6C"/>
    <w:rsid w:val="00675CBF"/>
    <w:rsid w:val="00675CD9"/>
    <w:rsid w:val="00675F77"/>
    <w:rsid w:val="00676D79"/>
    <w:rsid w:val="00676E70"/>
    <w:rsid w:val="00677912"/>
    <w:rsid w:val="00677E30"/>
    <w:rsid w:val="0068022B"/>
    <w:rsid w:val="006803C7"/>
    <w:rsid w:val="00680834"/>
    <w:rsid w:val="00681C30"/>
    <w:rsid w:val="00681C8F"/>
    <w:rsid w:val="00682690"/>
    <w:rsid w:val="006837B5"/>
    <w:rsid w:val="006847B5"/>
    <w:rsid w:val="006848AD"/>
    <w:rsid w:val="00684E99"/>
    <w:rsid w:val="00686506"/>
    <w:rsid w:val="00686566"/>
    <w:rsid w:val="00687121"/>
    <w:rsid w:val="006879A7"/>
    <w:rsid w:val="00687E9B"/>
    <w:rsid w:val="00690B49"/>
    <w:rsid w:val="006914CC"/>
    <w:rsid w:val="00691559"/>
    <w:rsid w:val="006915D8"/>
    <w:rsid w:val="00691E77"/>
    <w:rsid w:val="006927DA"/>
    <w:rsid w:val="006934AB"/>
    <w:rsid w:val="00693E36"/>
    <w:rsid w:val="00693F3A"/>
    <w:rsid w:val="00694151"/>
    <w:rsid w:val="0069554A"/>
    <w:rsid w:val="00695BD7"/>
    <w:rsid w:val="00695F76"/>
    <w:rsid w:val="00696396"/>
    <w:rsid w:val="006966C2"/>
    <w:rsid w:val="00696F82"/>
    <w:rsid w:val="00697252"/>
    <w:rsid w:val="006973A3"/>
    <w:rsid w:val="0069757B"/>
    <w:rsid w:val="0069785A"/>
    <w:rsid w:val="00697E1B"/>
    <w:rsid w:val="00697E43"/>
    <w:rsid w:val="006A0326"/>
    <w:rsid w:val="006A056A"/>
    <w:rsid w:val="006A05AC"/>
    <w:rsid w:val="006A09AC"/>
    <w:rsid w:val="006A10F5"/>
    <w:rsid w:val="006A1E2B"/>
    <w:rsid w:val="006A205F"/>
    <w:rsid w:val="006A28A8"/>
    <w:rsid w:val="006A2E01"/>
    <w:rsid w:val="006A3A29"/>
    <w:rsid w:val="006A4231"/>
    <w:rsid w:val="006A4D24"/>
    <w:rsid w:val="006A6308"/>
    <w:rsid w:val="006A6D81"/>
    <w:rsid w:val="006A6F2F"/>
    <w:rsid w:val="006A72D8"/>
    <w:rsid w:val="006A7E9C"/>
    <w:rsid w:val="006B09F5"/>
    <w:rsid w:val="006B0E1F"/>
    <w:rsid w:val="006B1538"/>
    <w:rsid w:val="006B162E"/>
    <w:rsid w:val="006B1949"/>
    <w:rsid w:val="006B285D"/>
    <w:rsid w:val="006B3E9C"/>
    <w:rsid w:val="006B3EC3"/>
    <w:rsid w:val="006B4619"/>
    <w:rsid w:val="006B4882"/>
    <w:rsid w:val="006B528C"/>
    <w:rsid w:val="006B63D5"/>
    <w:rsid w:val="006B656B"/>
    <w:rsid w:val="006B6C07"/>
    <w:rsid w:val="006B736F"/>
    <w:rsid w:val="006B78ED"/>
    <w:rsid w:val="006C09CD"/>
    <w:rsid w:val="006C0AFA"/>
    <w:rsid w:val="006C0D70"/>
    <w:rsid w:val="006C0E1F"/>
    <w:rsid w:val="006C1DF8"/>
    <w:rsid w:val="006C2039"/>
    <w:rsid w:val="006C2BBA"/>
    <w:rsid w:val="006C2CF0"/>
    <w:rsid w:val="006C30E1"/>
    <w:rsid w:val="006C3755"/>
    <w:rsid w:val="006C3B34"/>
    <w:rsid w:val="006C6996"/>
    <w:rsid w:val="006C764F"/>
    <w:rsid w:val="006D1159"/>
    <w:rsid w:val="006D13C5"/>
    <w:rsid w:val="006D13EA"/>
    <w:rsid w:val="006D16AB"/>
    <w:rsid w:val="006D1829"/>
    <w:rsid w:val="006D1A6C"/>
    <w:rsid w:val="006D1E14"/>
    <w:rsid w:val="006D1EB1"/>
    <w:rsid w:val="006D20A1"/>
    <w:rsid w:val="006D2CFC"/>
    <w:rsid w:val="006D30ED"/>
    <w:rsid w:val="006D3205"/>
    <w:rsid w:val="006D3353"/>
    <w:rsid w:val="006D35D4"/>
    <w:rsid w:val="006D481B"/>
    <w:rsid w:val="006D483A"/>
    <w:rsid w:val="006D4B75"/>
    <w:rsid w:val="006D4F01"/>
    <w:rsid w:val="006D5A7A"/>
    <w:rsid w:val="006D603E"/>
    <w:rsid w:val="006D60AC"/>
    <w:rsid w:val="006D6443"/>
    <w:rsid w:val="006D6C50"/>
    <w:rsid w:val="006D7EE8"/>
    <w:rsid w:val="006E0DAA"/>
    <w:rsid w:val="006E104B"/>
    <w:rsid w:val="006E11F9"/>
    <w:rsid w:val="006E1230"/>
    <w:rsid w:val="006E1406"/>
    <w:rsid w:val="006E15BB"/>
    <w:rsid w:val="006E1655"/>
    <w:rsid w:val="006E1F54"/>
    <w:rsid w:val="006E2270"/>
    <w:rsid w:val="006E2D0D"/>
    <w:rsid w:val="006E2D6C"/>
    <w:rsid w:val="006E3297"/>
    <w:rsid w:val="006E359B"/>
    <w:rsid w:val="006E35F1"/>
    <w:rsid w:val="006E35F7"/>
    <w:rsid w:val="006E3E6C"/>
    <w:rsid w:val="006E3F65"/>
    <w:rsid w:val="006E40E2"/>
    <w:rsid w:val="006E413E"/>
    <w:rsid w:val="006E4A08"/>
    <w:rsid w:val="006E4F93"/>
    <w:rsid w:val="006E5759"/>
    <w:rsid w:val="006E5D0C"/>
    <w:rsid w:val="006E60AD"/>
    <w:rsid w:val="006E6369"/>
    <w:rsid w:val="006E6792"/>
    <w:rsid w:val="006E6C5B"/>
    <w:rsid w:val="006E6D1C"/>
    <w:rsid w:val="006E6FEE"/>
    <w:rsid w:val="006E7295"/>
    <w:rsid w:val="006E72D5"/>
    <w:rsid w:val="006E7662"/>
    <w:rsid w:val="006E7A7E"/>
    <w:rsid w:val="006E7BD2"/>
    <w:rsid w:val="006F0AC5"/>
    <w:rsid w:val="006F1033"/>
    <w:rsid w:val="006F1312"/>
    <w:rsid w:val="006F186F"/>
    <w:rsid w:val="006F1BAE"/>
    <w:rsid w:val="006F1E75"/>
    <w:rsid w:val="006F3545"/>
    <w:rsid w:val="006F356E"/>
    <w:rsid w:val="006F477B"/>
    <w:rsid w:val="006F5F8C"/>
    <w:rsid w:val="006F649D"/>
    <w:rsid w:val="006F75CC"/>
    <w:rsid w:val="006F79EB"/>
    <w:rsid w:val="006F7B0F"/>
    <w:rsid w:val="00700844"/>
    <w:rsid w:val="00700C2F"/>
    <w:rsid w:val="007012C9"/>
    <w:rsid w:val="00701751"/>
    <w:rsid w:val="00701A50"/>
    <w:rsid w:val="00701BB8"/>
    <w:rsid w:val="0070268F"/>
    <w:rsid w:val="007026B1"/>
    <w:rsid w:val="0070341B"/>
    <w:rsid w:val="00703707"/>
    <w:rsid w:val="00703CA2"/>
    <w:rsid w:val="00704DBF"/>
    <w:rsid w:val="00704DD2"/>
    <w:rsid w:val="00705367"/>
    <w:rsid w:val="007053CA"/>
    <w:rsid w:val="00705A3B"/>
    <w:rsid w:val="00705A94"/>
    <w:rsid w:val="007061D8"/>
    <w:rsid w:val="007061F6"/>
    <w:rsid w:val="007062A8"/>
    <w:rsid w:val="00706675"/>
    <w:rsid w:val="00706B7B"/>
    <w:rsid w:val="00706DBC"/>
    <w:rsid w:val="0070736D"/>
    <w:rsid w:val="0070780B"/>
    <w:rsid w:val="00707CDD"/>
    <w:rsid w:val="00710BFA"/>
    <w:rsid w:val="00711725"/>
    <w:rsid w:val="00711C95"/>
    <w:rsid w:val="00712831"/>
    <w:rsid w:val="00712BAE"/>
    <w:rsid w:val="00713365"/>
    <w:rsid w:val="0071370F"/>
    <w:rsid w:val="00713A08"/>
    <w:rsid w:val="00713D9C"/>
    <w:rsid w:val="007142C3"/>
    <w:rsid w:val="00714ED4"/>
    <w:rsid w:val="007154EE"/>
    <w:rsid w:val="007164A2"/>
    <w:rsid w:val="007164DE"/>
    <w:rsid w:val="0071661D"/>
    <w:rsid w:val="00716C77"/>
    <w:rsid w:val="00716F8E"/>
    <w:rsid w:val="0071783E"/>
    <w:rsid w:val="00720000"/>
    <w:rsid w:val="0072060B"/>
    <w:rsid w:val="00720794"/>
    <w:rsid w:val="0072082D"/>
    <w:rsid w:val="00720E4E"/>
    <w:rsid w:val="00721179"/>
    <w:rsid w:val="00721384"/>
    <w:rsid w:val="007216A9"/>
    <w:rsid w:val="00721753"/>
    <w:rsid w:val="00721B93"/>
    <w:rsid w:val="00722A6F"/>
    <w:rsid w:val="0072300B"/>
    <w:rsid w:val="00723969"/>
    <w:rsid w:val="00723BBF"/>
    <w:rsid w:val="00723D8A"/>
    <w:rsid w:val="007249B8"/>
    <w:rsid w:val="00724B10"/>
    <w:rsid w:val="00725595"/>
    <w:rsid w:val="0072590A"/>
    <w:rsid w:val="00725BAC"/>
    <w:rsid w:val="00725BF9"/>
    <w:rsid w:val="00725EF6"/>
    <w:rsid w:val="00726350"/>
    <w:rsid w:val="00726D34"/>
    <w:rsid w:val="0072773A"/>
    <w:rsid w:val="0072786D"/>
    <w:rsid w:val="00727F29"/>
    <w:rsid w:val="007300C7"/>
    <w:rsid w:val="0073044B"/>
    <w:rsid w:val="00730561"/>
    <w:rsid w:val="007317E5"/>
    <w:rsid w:val="00732AED"/>
    <w:rsid w:val="0073314D"/>
    <w:rsid w:val="007333F1"/>
    <w:rsid w:val="0073499A"/>
    <w:rsid w:val="00734B01"/>
    <w:rsid w:val="00734B36"/>
    <w:rsid w:val="00735182"/>
    <w:rsid w:val="00735FC8"/>
    <w:rsid w:val="007360E7"/>
    <w:rsid w:val="007365DE"/>
    <w:rsid w:val="007366AA"/>
    <w:rsid w:val="00736A97"/>
    <w:rsid w:val="00736CC3"/>
    <w:rsid w:val="00737177"/>
    <w:rsid w:val="00737568"/>
    <w:rsid w:val="007379C8"/>
    <w:rsid w:val="00737BA0"/>
    <w:rsid w:val="007400E9"/>
    <w:rsid w:val="0074073B"/>
    <w:rsid w:val="00740811"/>
    <w:rsid w:val="007415CC"/>
    <w:rsid w:val="00741A23"/>
    <w:rsid w:val="00741D5C"/>
    <w:rsid w:val="00742171"/>
    <w:rsid w:val="0074280A"/>
    <w:rsid w:val="00742CBB"/>
    <w:rsid w:val="00743A65"/>
    <w:rsid w:val="00744BE6"/>
    <w:rsid w:val="007455BF"/>
    <w:rsid w:val="00745C0D"/>
    <w:rsid w:val="00745FA5"/>
    <w:rsid w:val="007468CF"/>
    <w:rsid w:val="007469EB"/>
    <w:rsid w:val="00746B07"/>
    <w:rsid w:val="00746D69"/>
    <w:rsid w:val="00746EE8"/>
    <w:rsid w:val="00747429"/>
    <w:rsid w:val="00747E11"/>
    <w:rsid w:val="00750199"/>
    <w:rsid w:val="007507E7"/>
    <w:rsid w:val="00750E80"/>
    <w:rsid w:val="007518E1"/>
    <w:rsid w:val="00752197"/>
    <w:rsid w:val="00752743"/>
    <w:rsid w:val="00752B84"/>
    <w:rsid w:val="007538C6"/>
    <w:rsid w:val="00753FBC"/>
    <w:rsid w:val="007546A9"/>
    <w:rsid w:val="007551C6"/>
    <w:rsid w:val="00755B73"/>
    <w:rsid w:val="007568D2"/>
    <w:rsid w:val="007572CE"/>
    <w:rsid w:val="007572F0"/>
    <w:rsid w:val="0075773E"/>
    <w:rsid w:val="00757885"/>
    <w:rsid w:val="00757A65"/>
    <w:rsid w:val="00757B14"/>
    <w:rsid w:val="00757B88"/>
    <w:rsid w:val="00757BAF"/>
    <w:rsid w:val="007612ED"/>
    <w:rsid w:val="007618D4"/>
    <w:rsid w:val="00762288"/>
    <w:rsid w:val="007623B0"/>
    <w:rsid w:val="00762567"/>
    <w:rsid w:val="00762A1F"/>
    <w:rsid w:val="00763E91"/>
    <w:rsid w:val="0076402D"/>
    <w:rsid w:val="00764294"/>
    <w:rsid w:val="00764440"/>
    <w:rsid w:val="0076458F"/>
    <w:rsid w:val="00764796"/>
    <w:rsid w:val="00764D1D"/>
    <w:rsid w:val="00764E5D"/>
    <w:rsid w:val="00765ECA"/>
    <w:rsid w:val="007662C7"/>
    <w:rsid w:val="00766C87"/>
    <w:rsid w:val="00767B8C"/>
    <w:rsid w:val="007701EA"/>
    <w:rsid w:val="00770761"/>
    <w:rsid w:val="007716AC"/>
    <w:rsid w:val="00772459"/>
    <w:rsid w:val="0077253F"/>
    <w:rsid w:val="007730F1"/>
    <w:rsid w:val="0077401D"/>
    <w:rsid w:val="00774E8D"/>
    <w:rsid w:val="00775D67"/>
    <w:rsid w:val="00777D2A"/>
    <w:rsid w:val="007801C0"/>
    <w:rsid w:val="007801D4"/>
    <w:rsid w:val="00780E56"/>
    <w:rsid w:val="00780FD1"/>
    <w:rsid w:val="00781683"/>
    <w:rsid w:val="0078340B"/>
    <w:rsid w:val="00783CD3"/>
    <w:rsid w:val="007845BA"/>
    <w:rsid w:val="007846D1"/>
    <w:rsid w:val="0078487B"/>
    <w:rsid w:val="00784C86"/>
    <w:rsid w:val="00784C9D"/>
    <w:rsid w:val="007856BF"/>
    <w:rsid w:val="00785703"/>
    <w:rsid w:val="00785FFA"/>
    <w:rsid w:val="00786607"/>
    <w:rsid w:val="007869F3"/>
    <w:rsid w:val="00786D11"/>
    <w:rsid w:val="00786D62"/>
    <w:rsid w:val="00786DDE"/>
    <w:rsid w:val="007870FE"/>
    <w:rsid w:val="00787660"/>
    <w:rsid w:val="00787E66"/>
    <w:rsid w:val="0079128B"/>
    <w:rsid w:val="00791C2E"/>
    <w:rsid w:val="007925D6"/>
    <w:rsid w:val="00793B18"/>
    <w:rsid w:val="007948DA"/>
    <w:rsid w:val="00794DBF"/>
    <w:rsid w:val="00795D28"/>
    <w:rsid w:val="007965BD"/>
    <w:rsid w:val="00796F36"/>
    <w:rsid w:val="007971C0"/>
    <w:rsid w:val="007A013B"/>
    <w:rsid w:val="007A0331"/>
    <w:rsid w:val="007A0E33"/>
    <w:rsid w:val="007A1341"/>
    <w:rsid w:val="007A1540"/>
    <w:rsid w:val="007A1786"/>
    <w:rsid w:val="007A1958"/>
    <w:rsid w:val="007A2466"/>
    <w:rsid w:val="007A25A9"/>
    <w:rsid w:val="007A323B"/>
    <w:rsid w:val="007A44E1"/>
    <w:rsid w:val="007A5E08"/>
    <w:rsid w:val="007A62B4"/>
    <w:rsid w:val="007A6444"/>
    <w:rsid w:val="007A71E8"/>
    <w:rsid w:val="007A76A0"/>
    <w:rsid w:val="007A7737"/>
    <w:rsid w:val="007A7EFD"/>
    <w:rsid w:val="007B03AB"/>
    <w:rsid w:val="007B0BCF"/>
    <w:rsid w:val="007B0EFE"/>
    <w:rsid w:val="007B1094"/>
    <w:rsid w:val="007B1542"/>
    <w:rsid w:val="007B21C4"/>
    <w:rsid w:val="007B28B7"/>
    <w:rsid w:val="007B3A7F"/>
    <w:rsid w:val="007B3BB1"/>
    <w:rsid w:val="007B3E48"/>
    <w:rsid w:val="007B440E"/>
    <w:rsid w:val="007B44B3"/>
    <w:rsid w:val="007B4B95"/>
    <w:rsid w:val="007B509C"/>
    <w:rsid w:val="007B50A7"/>
    <w:rsid w:val="007B55FA"/>
    <w:rsid w:val="007B56E2"/>
    <w:rsid w:val="007B645F"/>
    <w:rsid w:val="007B67DC"/>
    <w:rsid w:val="007B6885"/>
    <w:rsid w:val="007B691A"/>
    <w:rsid w:val="007B71D4"/>
    <w:rsid w:val="007C109D"/>
    <w:rsid w:val="007C1B80"/>
    <w:rsid w:val="007C2299"/>
    <w:rsid w:val="007C26B8"/>
    <w:rsid w:val="007C27F6"/>
    <w:rsid w:val="007C2A61"/>
    <w:rsid w:val="007C2DBA"/>
    <w:rsid w:val="007C33B1"/>
    <w:rsid w:val="007C34AB"/>
    <w:rsid w:val="007C355B"/>
    <w:rsid w:val="007C4100"/>
    <w:rsid w:val="007C4E72"/>
    <w:rsid w:val="007C4F6B"/>
    <w:rsid w:val="007C5DC2"/>
    <w:rsid w:val="007C5EE7"/>
    <w:rsid w:val="007C64D1"/>
    <w:rsid w:val="007C682B"/>
    <w:rsid w:val="007C7461"/>
    <w:rsid w:val="007C7B07"/>
    <w:rsid w:val="007C7FBD"/>
    <w:rsid w:val="007D05A9"/>
    <w:rsid w:val="007D0664"/>
    <w:rsid w:val="007D07C4"/>
    <w:rsid w:val="007D092A"/>
    <w:rsid w:val="007D111E"/>
    <w:rsid w:val="007D1549"/>
    <w:rsid w:val="007D22F6"/>
    <w:rsid w:val="007D2AC1"/>
    <w:rsid w:val="007D3057"/>
    <w:rsid w:val="007D3396"/>
    <w:rsid w:val="007D4B1D"/>
    <w:rsid w:val="007D5074"/>
    <w:rsid w:val="007D544B"/>
    <w:rsid w:val="007D5AAE"/>
    <w:rsid w:val="007D5BB1"/>
    <w:rsid w:val="007D5CF9"/>
    <w:rsid w:val="007D73C6"/>
    <w:rsid w:val="007D7523"/>
    <w:rsid w:val="007D785D"/>
    <w:rsid w:val="007D7A9C"/>
    <w:rsid w:val="007D7B95"/>
    <w:rsid w:val="007D7CC0"/>
    <w:rsid w:val="007D7FEE"/>
    <w:rsid w:val="007E024C"/>
    <w:rsid w:val="007E058A"/>
    <w:rsid w:val="007E10E8"/>
    <w:rsid w:val="007E1A95"/>
    <w:rsid w:val="007E1F17"/>
    <w:rsid w:val="007E20C7"/>
    <w:rsid w:val="007E2243"/>
    <w:rsid w:val="007E278F"/>
    <w:rsid w:val="007E287F"/>
    <w:rsid w:val="007E2D9F"/>
    <w:rsid w:val="007E2E32"/>
    <w:rsid w:val="007E2E3E"/>
    <w:rsid w:val="007E319A"/>
    <w:rsid w:val="007E335D"/>
    <w:rsid w:val="007E35F6"/>
    <w:rsid w:val="007E3A8A"/>
    <w:rsid w:val="007E3DAA"/>
    <w:rsid w:val="007E453B"/>
    <w:rsid w:val="007E461C"/>
    <w:rsid w:val="007E4763"/>
    <w:rsid w:val="007E4CA7"/>
    <w:rsid w:val="007E5A5F"/>
    <w:rsid w:val="007E5DF4"/>
    <w:rsid w:val="007E6273"/>
    <w:rsid w:val="007E66F3"/>
    <w:rsid w:val="007E6B6B"/>
    <w:rsid w:val="007E6F60"/>
    <w:rsid w:val="007E71B4"/>
    <w:rsid w:val="007E74B1"/>
    <w:rsid w:val="007E7C47"/>
    <w:rsid w:val="007E7DD0"/>
    <w:rsid w:val="007F0729"/>
    <w:rsid w:val="007F0E2C"/>
    <w:rsid w:val="007F1108"/>
    <w:rsid w:val="007F1523"/>
    <w:rsid w:val="007F1876"/>
    <w:rsid w:val="007F21C3"/>
    <w:rsid w:val="007F312C"/>
    <w:rsid w:val="007F3F0A"/>
    <w:rsid w:val="007F3F39"/>
    <w:rsid w:val="007F46CC"/>
    <w:rsid w:val="007F46F8"/>
    <w:rsid w:val="007F4923"/>
    <w:rsid w:val="007F4C9A"/>
    <w:rsid w:val="007F50B3"/>
    <w:rsid w:val="007F54BE"/>
    <w:rsid w:val="007F54F9"/>
    <w:rsid w:val="007F5BE4"/>
    <w:rsid w:val="007F5C7B"/>
    <w:rsid w:val="007F67B8"/>
    <w:rsid w:val="007F69BF"/>
    <w:rsid w:val="007F6F74"/>
    <w:rsid w:val="007F6FDF"/>
    <w:rsid w:val="007F769B"/>
    <w:rsid w:val="007F7A9C"/>
    <w:rsid w:val="00800954"/>
    <w:rsid w:val="00800A50"/>
    <w:rsid w:val="00800F43"/>
    <w:rsid w:val="008019DB"/>
    <w:rsid w:val="00802102"/>
    <w:rsid w:val="00802524"/>
    <w:rsid w:val="00802542"/>
    <w:rsid w:val="0080261D"/>
    <w:rsid w:val="00802B0E"/>
    <w:rsid w:val="00803016"/>
    <w:rsid w:val="00803988"/>
    <w:rsid w:val="00803F26"/>
    <w:rsid w:val="0080411A"/>
    <w:rsid w:val="00804679"/>
    <w:rsid w:val="008049BE"/>
    <w:rsid w:val="00804CA3"/>
    <w:rsid w:val="0080643D"/>
    <w:rsid w:val="00806531"/>
    <w:rsid w:val="00806A5A"/>
    <w:rsid w:val="00807097"/>
    <w:rsid w:val="00807887"/>
    <w:rsid w:val="008079D7"/>
    <w:rsid w:val="00807B67"/>
    <w:rsid w:val="00810263"/>
    <w:rsid w:val="0081027D"/>
    <w:rsid w:val="00810D11"/>
    <w:rsid w:val="00811344"/>
    <w:rsid w:val="00811B70"/>
    <w:rsid w:val="00812DDA"/>
    <w:rsid w:val="008131C3"/>
    <w:rsid w:val="00813458"/>
    <w:rsid w:val="008136C6"/>
    <w:rsid w:val="00813808"/>
    <w:rsid w:val="00814F34"/>
    <w:rsid w:val="00815187"/>
    <w:rsid w:val="00815AE9"/>
    <w:rsid w:val="00815DFF"/>
    <w:rsid w:val="00817B70"/>
    <w:rsid w:val="00817C2D"/>
    <w:rsid w:val="00817D4E"/>
    <w:rsid w:val="00820A56"/>
    <w:rsid w:val="00820AD4"/>
    <w:rsid w:val="008210B5"/>
    <w:rsid w:val="008211DA"/>
    <w:rsid w:val="00821582"/>
    <w:rsid w:val="0082167C"/>
    <w:rsid w:val="0082168F"/>
    <w:rsid w:val="00821C11"/>
    <w:rsid w:val="00821D05"/>
    <w:rsid w:val="00821F97"/>
    <w:rsid w:val="008221E6"/>
    <w:rsid w:val="0082230D"/>
    <w:rsid w:val="008227CB"/>
    <w:rsid w:val="00822828"/>
    <w:rsid w:val="00822FB5"/>
    <w:rsid w:val="0082384A"/>
    <w:rsid w:val="0082404A"/>
    <w:rsid w:val="008241B5"/>
    <w:rsid w:val="008241F5"/>
    <w:rsid w:val="008243D9"/>
    <w:rsid w:val="00824E02"/>
    <w:rsid w:val="0082504D"/>
    <w:rsid w:val="008250FA"/>
    <w:rsid w:val="00825563"/>
    <w:rsid w:val="008258ED"/>
    <w:rsid w:val="00825C56"/>
    <w:rsid w:val="0082657C"/>
    <w:rsid w:val="008271B0"/>
    <w:rsid w:val="008272A9"/>
    <w:rsid w:val="00827427"/>
    <w:rsid w:val="0083072B"/>
    <w:rsid w:val="00830ED8"/>
    <w:rsid w:val="00830F52"/>
    <w:rsid w:val="008321AA"/>
    <w:rsid w:val="00832321"/>
    <w:rsid w:val="00832409"/>
    <w:rsid w:val="00832475"/>
    <w:rsid w:val="008325C7"/>
    <w:rsid w:val="00832825"/>
    <w:rsid w:val="008328E7"/>
    <w:rsid w:val="00832B5C"/>
    <w:rsid w:val="00832E2D"/>
    <w:rsid w:val="0083327E"/>
    <w:rsid w:val="008337CA"/>
    <w:rsid w:val="008349C0"/>
    <w:rsid w:val="00835F64"/>
    <w:rsid w:val="00836176"/>
    <w:rsid w:val="00836502"/>
    <w:rsid w:val="008368FF"/>
    <w:rsid w:val="008405E6"/>
    <w:rsid w:val="00841680"/>
    <w:rsid w:val="00841FAE"/>
    <w:rsid w:val="008426CE"/>
    <w:rsid w:val="0084288E"/>
    <w:rsid w:val="0084294F"/>
    <w:rsid w:val="0084315F"/>
    <w:rsid w:val="008435E6"/>
    <w:rsid w:val="008446A6"/>
    <w:rsid w:val="00844F73"/>
    <w:rsid w:val="008461A0"/>
    <w:rsid w:val="008463A0"/>
    <w:rsid w:val="0084694F"/>
    <w:rsid w:val="00846A73"/>
    <w:rsid w:val="00846F9E"/>
    <w:rsid w:val="00847096"/>
    <w:rsid w:val="008475AC"/>
    <w:rsid w:val="00850196"/>
    <w:rsid w:val="0085066A"/>
    <w:rsid w:val="00850ACC"/>
    <w:rsid w:val="008520C1"/>
    <w:rsid w:val="008520DD"/>
    <w:rsid w:val="00852F17"/>
    <w:rsid w:val="0085345C"/>
    <w:rsid w:val="008538F2"/>
    <w:rsid w:val="00854630"/>
    <w:rsid w:val="00854A6E"/>
    <w:rsid w:val="00854B2A"/>
    <w:rsid w:val="00855056"/>
    <w:rsid w:val="0085512B"/>
    <w:rsid w:val="008551C6"/>
    <w:rsid w:val="0085625C"/>
    <w:rsid w:val="00856E18"/>
    <w:rsid w:val="00857958"/>
    <w:rsid w:val="00860636"/>
    <w:rsid w:val="00860BBF"/>
    <w:rsid w:val="00860DAA"/>
    <w:rsid w:val="00860F4B"/>
    <w:rsid w:val="008610C0"/>
    <w:rsid w:val="00861664"/>
    <w:rsid w:val="0086178E"/>
    <w:rsid w:val="0086246C"/>
    <w:rsid w:val="00862A45"/>
    <w:rsid w:val="00864A5C"/>
    <w:rsid w:val="00864BA4"/>
    <w:rsid w:val="008656B5"/>
    <w:rsid w:val="00866758"/>
    <w:rsid w:val="00866D3F"/>
    <w:rsid w:val="008678E5"/>
    <w:rsid w:val="00867A83"/>
    <w:rsid w:val="00867FB1"/>
    <w:rsid w:val="00870146"/>
    <w:rsid w:val="008705B2"/>
    <w:rsid w:val="00871734"/>
    <w:rsid w:val="00871B2A"/>
    <w:rsid w:val="00871F16"/>
    <w:rsid w:val="00871F5F"/>
    <w:rsid w:val="00872618"/>
    <w:rsid w:val="0087346E"/>
    <w:rsid w:val="0087351A"/>
    <w:rsid w:val="008737A9"/>
    <w:rsid w:val="00873992"/>
    <w:rsid w:val="008744FA"/>
    <w:rsid w:val="00874D98"/>
    <w:rsid w:val="00874EBF"/>
    <w:rsid w:val="00876D18"/>
    <w:rsid w:val="00876F16"/>
    <w:rsid w:val="00876F51"/>
    <w:rsid w:val="0087714D"/>
    <w:rsid w:val="008774D6"/>
    <w:rsid w:val="00880048"/>
    <w:rsid w:val="00880DA9"/>
    <w:rsid w:val="00880EA9"/>
    <w:rsid w:val="00880F84"/>
    <w:rsid w:val="008815B6"/>
    <w:rsid w:val="00883409"/>
    <w:rsid w:val="0088353E"/>
    <w:rsid w:val="00883542"/>
    <w:rsid w:val="008843B2"/>
    <w:rsid w:val="0088478C"/>
    <w:rsid w:val="00884851"/>
    <w:rsid w:val="00885B1D"/>
    <w:rsid w:val="00885C17"/>
    <w:rsid w:val="0088670A"/>
    <w:rsid w:val="00886DE8"/>
    <w:rsid w:val="00887021"/>
    <w:rsid w:val="0089023F"/>
    <w:rsid w:val="00890354"/>
    <w:rsid w:val="00890559"/>
    <w:rsid w:val="00890DB0"/>
    <w:rsid w:val="00891039"/>
    <w:rsid w:val="008912F1"/>
    <w:rsid w:val="0089245A"/>
    <w:rsid w:val="0089305F"/>
    <w:rsid w:val="008932B3"/>
    <w:rsid w:val="00893479"/>
    <w:rsid w:val="0089369B"/>
    <w:rsid w:val="00893731"/>
    <w:rsid w:val="00893C2D"/>
    <w:rsid w:val="00893C81"/>
    <w:rsid w:val="0089417E"/>
    <w:rsid w:val="00894317"/>
    <w:rsid w:val="008943CD"/>
    <w:rsid w:val="00894628"/>
    <w:rsid w:val="0089482C"/>
    <w:rsid w:val="008948F1"/>
    <w:rsid w:val="00894AFC"/>
    <w:rsid w:val="00894D92"/>
    <w:rsid w:val="008951F7"/>
    <w:rsid w:val="008953E9"/>
    <w:rsid w:val="00895791"/>
    <w:rsid w:val="00895B55"/>
    <w:rsid w:val="00895D9D"/>
    <w:rsid w:val="0089624B"/>
    <w:rsid w:val="00896FE1"/>
    <w:rsid w:val="008971E6"/>
    <w:rsid w:val="00897326"/>
    <w:rsid w:val="00897461"/>
    <w:rsid w:val="008A0C53"/>
    <w:rsid w:val="008A1030"/>
    <w:rsid w:val="008A1556"/>
    <w:rsid w:val="008A1A95"/>
    <w:rsid w:val="008A1DA3"/>
    <w:rsid w:val="008A1E36"/>
    <w:rsid w:val="008A208E"/>
    <w:rsid w:val="008A2197"/>
    <w:rsid w:val="008A2C5B"/>
    <w:rsid w:val="008A301D"/>
    <w:rsid w:val="008A383F"/>
    <w:rsid w:val="008A39BD"/>
    <w:rsid w:val="008A404B"/>
    <w:rsid w:val="008A5085"/>
    <w:rsid w:val="008A616D"/>
    <w:rsid w:val="008A65C9"/>
    <w:rsid w:val="008A7392"/>
    <w:rsid w:val="008A74A5"/>
    <w:rsid w:val="008A7A35"/>
    <w:rsid w:val="008A7AC8"/>
    <w:rsid w:val="008B0D93"/>
    <w:rsid w:val="008B0DD9"/>
    <w:rsid w:val="008B1CC6"/>
    <w:rsid w:val="008B271E"/>
    <w:rsid w:val="008B27CA"/>
    <w:rsid w:val="008B32C8"/>
    <w:rsid w:val="008B3C70"/>
    <w:rsid w:val="008B3DAA"/>
    <w:rsid w:val="008B4087"/>
    <w:rsid w:val="008B46B8"/>
    <w:rsid w:val="008B484A"/>
    <w:rsid w:val="008B5BE8"/>
    <w:rsid w:val="008B65F7"/>
    <w:rsid w:val="008B6FB8"/>
    <w:rsid w:val="008B725F"/>
    <w:rsid w:val="008B7736"/>
    <w:rsid w:val="008B78F6"/>
    <w:rsid w:val="008B7E59"/>
    <w:rsid w:val="008B7FA3"/>
    <w:rsid w:val="008C08CF"/>
    <w:rsid w:val="008C0925"/>
    <w:rsid w:val="008C0A7E"/>
    <w:rsid w:val="008C0C52"/>
    <w:rsid w:val="008C0F3E"/>
    <w:rsid w:val="008C1793"/>
    <w:rsid w:val="008C2261"/>
    <w:rsid w:val="008C22EC"/>
    <w:rsid w:val="008C2645"/>
    <w:rsid w:val="008C2850"/>
    <w:rsid w:val="008C2D5C"/>
    <w:rsid w:val="008C662F"/>
    <w:rsid w:val="008C72D7"/>
    <w:rsid w:val="008C77D1"/>
    <w:rsid w:val="008C7A9A"/>
    <w:rsid w:val="008C7D67"/>
    <w:rsid w:val="008D09A2"/>
    <w:rsid w:val="008D1B14"/>
    <w:rsid w:val="008D1D78"/>
    <w:rsid w:val="008D1D7B"/>
    <w:rsid w:val="008D24AF"/>
    <w:rsid w:val="008D2D46"/>
    <w:rsid w:val="008D3363"/>
    <w:rsid w:val="008D3F5D"/>
    <w:rsid w:val="008D42B3"/>
    <w:rsid w:val="008D485B"/>
    <w:rsid w:val="008D4AD1"/>
    <w:rsid w:val="008D4E88"/>
    <w:rsid w:val="008D550D"/>
    <w:rsid w:val="008D5C08"/>
    <w:rsid w:val="008D6630"/>
    <w:rsid w:val="008E0504"/>
    <w:rsid w:val="008E12A9"/>
    <w:rsid w:val="008E1885"/>
    <w:rsid w:val="008E245F"/>
    <w:rsid w:val="008E24EC"/>
    <w:rsid w:val="008E2AB3"/>
    <w:rsid w:val="008E316A"/>
    <w:rsid w:val="008E38AC"/>
    <w:rsid w:val="008E3D51"/>
    <w:rsid w:val="008E4201"/>
    <w:rsid w:val="008E43BC"/>
    <w:rsid w:val="008E4F60"/>
    <w:rsid w:val="008E4F6C"/>
    <w:rsid w:val="008E52CF"/>
    <w:rsid w:val="008E5396"/>
    <w:rsid w:val="008E5602"/>
    <w:rsid w:val="008E5806"/>
    <w:rsid w:val="008E62D5"/>
    <w:rsid w:val="008E6D33"/>
    <w:rsid w:val="008E6EB2"/>
    <w:rsid w:val="008E6FC2"/>
    <w:rsid w:val="008E7095"/>
    <w:rsid w:val="008E7335"/>
    <w:rsid w:val="008E7C35"/>
    <w:rsid w:val="008F0428"/>
    <w:rsid w:val="008F09E7"/>
    <w:rsid w:val="008F0D48"/>
    <w:rsid w:val="008F0FDE"/>
    <w:rsid w:val="008F0FEF"/>
    <w:rsid w:val="008F1AE5"/>
    <w:rsid w:val="008F1F9D"/>
    <w:rsid w:val="008F26DE"/>
    <w:rsid w:val="008F2755"/>
    <w:rsid w:val="008F28AA"/>
    <w:rsid w:val="008F359B"/>
    <w:rsid w:val="008F35B6"/>
    <w:rsid w:val="008F3D14"/>
    <w:rsid w:val="008F3D80"/>
    <w:rsid w:val="008F440C"/>
    <w:rsid w:val="008F48F4"/>
    <w:rsid w:val="008F49BF"/>
    <w:rsid w:val="008F4DD1"/>
    <w:rsid w:val="008F628C"/>
    <w:rsid w:val="008F6401"/>
    <w:rsid w:val="008F6FA0"/>
    <w:rsid w:val="00901458"/>
    <w:rsid w:val="0090209E"/>
    <w:rsid w:val="0090244D"/>
    <w:rsid w:val="009025C6"/>
    <w:rsid w:val="00902999"/>
    <w:rsid w:val="00903078"/>
    <w:rsid w:val="00903088"/>
    <w:rsid w:val="009030E1"/>
    <w:rsid w:val="00903152"/>
    <w:rsid w:val="00903359"/>
    <w:rsid w:val="009036F9"/>
    <w:rsid w:val="009039E7"/>
    <w:rsid w:val="00903A38"/>
    <w:rsid w:val="00904139"/>
    <w:rsid w:val="0090430D"/>
    <w:rsid w:val="00904CC7"/>
    <w:rsid w:val="00904EBB"/>
    <w:rsid w:val="00905331"/>
    <w:rsid w:val="009059E1"/>
    <w:rsid w:val="00905C58"/>
    <w:rsid w:val="00905E82"/>
    <w:rsid w:val="00905EA0"/>
    <w:rsid w:val="009060C7"/>
    <w:rsid w:val="0090628F"/>
    <w:rsid w:val="00906CA0"/>
    <w:rsid w:val="00906D28"/>
    <w:rsid w:val="00907485"/>
    <w:rsid w:val="009101FF"/>
    <w:rsid w:val="00910506"/>
    <w:rsid w:val="0091058E"/>
    <w:rsid w:val="009107AB"/>
    <w:rsid w:val="00911716"/>
    <w:rsid w:val="009119E1"/>
    <w:rsid w:val="00911C73"/>
    <w:rsid w:val="00911EDB"/>
    <w:rsid w:val="00912ABE"/>
    <w:rsid w:val="00912B0B"/>
    <w:rsid w:val="0091304C"/>
    <w:rsid w:val="009131DB"/>
    <w:rsid w:val="00913783"/>
    <w:rsid w:val="00913B0A"/>
    <w:rsid w:val="009141D5"/>
    <w:rsid w:val="00914416"/>
    <w:rsid w:val="0091469B"/>
    <w:rsid w:val="00915189"/>
    <w:rsid w:val="009151B2"/>
    <w:rsid w:val="00915B75"/>
    <w:rsid w:val="00916C6C"/>
    <w:rsid w:val="00916DEC"/>
    <w:rsid w:val="009171CB"/>
    <w:rsid w:val="00920464"/>
    <w:rsid w:val="00920AE9"/>
    <w:rsid w:val="00921152"/>
    <w:rsid w:val="009215A5"/>
    <w:rsid w:val="009215AA"/>
    <w:rsid w:val="009217D2"/>
    <w:rsid w:val="00921D21"/>
    <w:rsid w:val="00921F60"/>
    <w:rsid w:val="009231BE"/>
    <w:rsid w:val="00923617"/>
    <w:rsid w:val="0092372C"/>
    <w:rsid w:val="00923B0F"/>
    <w:rsid w:val="00925039"/>
    <w:rsid w:val="00925678"/>
    <w:rsid w:val="009259CB"/>
    <w:rsid w:val="00925B12"/>
    <w:rsid w:val="00925CD2"/>
    <w:rsid w:val="00925D26"/>
    <w:rsid w:val="00925EEF"/>
    <w:rsid w:val="0092691F"/>
    <w:rsid w:val="00926E4D"/>
    <w:rsid w:val="00927358"/>
    <w:rsid w:val="00927A8F"/>
    <w:rsid w:val="00930123"/>
    <w:rsid w:val="00930494"/>
    <w:rsid w:val="009305B8"/>
    <w:rsid w:val="00931504"/>
    <w:rsid w:val="0093189B"/>
    <w:rsid w:val="00932207"/>
    <w:rsid w:val="009325AB"/>
    <w:rsid w:val="0093272A"/>
    <w:rsid w:val="0093321D"/>
    <w:rsid w:val="00933703"/>
    <w:rsid w:val="0093375A"/>
    <w:rsid w:val="00933BCD"/>
    <w:rsid w:val="00934154"/>
    <w:rsid w:val="00934496"/>
    <w:rsid w:val="00934587"/>
    <w:rsid w:val="009346E1"/>
    <w:rsid w:val="00934956"/>
    <w:rsid w:val="00934C7A"/>
    <w:rsid w:val="00934FF9"/>
    <w:rsid w:val="0093561D"/>
    <w:rsid w:val="00935C85"/>
    <w:rsid w:val="00935E78"/>
    <w:rsid w:val="009368F1"/>
    <w:rsid w:val="00936C2F"/>
    <w:rsid w:val="00936ED1"/>
    <w:rsid w:val="00937916"/>
    <w:rsid w:val="00937C6E"/>
    <w:rsid w:val="009401EF"/>
    <w:rsid w:val="00940311"/>
    <w:rsid w:val="00941A6F"/>
    <w:rsid w:val="00941CE0"/>
    <w:rsid w:val="00941E17"/>
    <w:rsid w:val="00942441"/>
    <w:rsid w:val="00942CDF"/>
    <w:rsid w:val="009432C5"/>
    <w:rsid w:val="0094361E"/>
    <w:rsid w:val="009436F2"/>
    <w:rsid w:val="00943B77"/>
    <w:rsid w:val="00944130"/>
    <w:rsid w:val="00944437"/>
    <w:rsid w:val="00944EAD"/>
    <w:rsid w:val="00945072"/>
    <w:rsid w:val="0094532E"/>
    <w:rsid w:val="009461B9"/>
    <w:rsid w:val="009461E1"/>
    <w:rsid w:val="0094684B"/>
    <w:rsid w:val="00946F9B"/>
    <w:rsid w:val="00947322"/>
    <w:rsid w:val="00950831"/>
    <w:rsid w:val="00950832"/>
    <w:rsid w:val="009517E0"/>
    <w:rsid w:val="00952083"/>
    <w:rsid w:val="00952228"/>
    <w:rsid w:val="009526E0"/>
    <w:rsid w:val="00952972"/>
    <w:rsid w:val="00952AF6"/>
    <w:rsid w:val="00952B51"/>
    <w:rsid w:val="00953732"/>
    <w:rsid w:val="0095392D"/>
    <w:rsid w:val="00954713"/>
    <w:rsid w:val="0095592C"/>
    <w:rsid w:val="0095632F"/>
    <w:rsid w:val="0095650B"/>
    <w:rsid w:val="00956670"/>
    <w:rsid w:val="00956CA6"/>
    <w:rsid w:val="0095705C"/>
    <w:rsid w:val="009573A0"/>
    <w:rsid w:val="00960435"/>
    <w:rsid w:val="00960689"/>
    <w:rsid w:val="009609C2"/>
    <w:rsid w:val="00960BC1"/>
    <w:rsid w:val="00960BF1"/>
    <w:rsid w:val="0096188B"/>
    <w:rsid w:val="00961F8A"/>
    <w:rsid w:val="00962232"/>
    <w:rsid w:val="0096231E"/>
    <w:rsid w:val="009625B3"/>
    <w:rsid w:val="00963269"/>
    <w:rsid w:val="00963AC6"/>
    <w:rsid w:val="00963AC7"/>
    <w:rsid w:val="00965E29"/>
    <w:rsid w:val="00966907"/>
    <w:rsid w:val="009672A3"/>
    <w:rsid w:val="00967832"/>
    <w:rsid w:val="00967E04"/>
    <w:rsid w:val="00970957"/>
    <w:rsid w:val="00970A83"/>
    <w:rsid w:val="00970DD8"/>
    <w:rsid w:val="00970FCF"/>
    <w:rsid w:val="0097120E"/>
    <w:rsid w:val="00971515"/>
    <w:rsid w:val="00971B32"/>
    <w:rsid w:val="00971BD8"/>
    <w:rsid w:val="009724DD"/>
    <w:rsid w:val="0097286F"/>
    <w:rsid w:val="009728A3"/>
    <w:rsid w:val="009730E8"/>
    <w:rsid w:val="00973345"/>
    <w:rsid w:val="00973484"/>
    <w:rsid w:val="00973A5E"/>
    <w:rsid w:val="00974D1F"/>
    <w:rsid w:val="00975309"/>
    <w:rsid w:val="00975B19"/>
    <w:rsid w:val="00975EC9"/>
    <w:rsid w:val="00976343"/>
    <w:rsid w:val="0097640A"/>
    <w:rsid w:val="0097705D"/>
    <w:rsid w:val="0097727C"/>
    <w:rsid w:val="00977756"/>
    <w:rsid w:val="009779D1"/>
    <w:rsid w:val="00977C44"/>
    <w:rsid w:val="00977DF7"/>
    <w:rsid w:val="009800FD"/>
    <w:rsid w:val="00980191"/>
    <w:rsid w:val="009801F9"/>
    <w:rsid w:val="00981583"/>
    <w:rsid w:val="00981881"/>
    <w:rsid w:val="00981CCF"/>
    <w:rsid w:val="00981D07"/>
    <w:rsid w:val="00981F3E"/>
    <w:rsid w:val="0098266A"/>
    <w:rsid w:val="00982B62"/>
    <w:rsid w:val="009834A9"/>
    <w:rsid w:val="0098356A"/>
    <w:rsid w:val="009837CB"/>
    <w:rsid w:val="00983BC5"/>
    <w:rsid w:val="00984619"/>
    <w:rsid w:val="0098478E"/>
    <w:rsid w:val="009847C6"/>
    <w:rsid w:val="00984AD5"/>
    <w:rsid w:val="00984B83"/>
    <w:rsid w:val="00985270"/>
    <w:rsid w:val="009852A3"/>
    <w:rsid w:val="0098545B"/>
    <w:rsid w:val="00986295"/>
    <w:rsid w:val="00986EFB"/>
    <w:rsid w:val="00987D83"/>
    <w:rsid w:val="00990D08"/>
    <w:rsid w:val="009915E7"/>
    <w:rsid w:val="009916EB"/>
    <w:rsid w:val="00991FC8"/>
    <w:rsid w:val="009927F3"/>
    <w:rsid w:val="00992B3B"/>
    <w:rsid w:val="00992B49"/>
    <w:rsid w:val="00992B74"/>
    <w:rsid w:val="00992F4C"/>
    <w:rsid w:val="009938DC"/>
    <w:rsid w:val="009940BC"/>
    <w:rsid w:val="00995059"/>
    <w:rsid w:val="009950EF"/>
    <w:rsid w:val="009958C6"/>
    <w:rsid w:val="009959AB"/>
    <w:rsid w:val="009961BF"/>
    <w:rsid w:val="00996C0D"/>
    <w:rsid w:val="00997195"/>
    <w:rsid w:val="009A01D7"/>
    <w:rsid w:val="009A0EA7"/>
    <w:rsid w:val="009A155A"/>
    <w:rsid w:val="009A1900"/>
    <w:rsid w:val="009A192C"/>
    <w:rsid w:val="009A34FC"/>
    <w:rsid w:val="009A483B"/>
    <w:rsid w:val="009A4998"/>
    <w:rsid w:val="009A529D"/>
    <w:rsid w:val="009A5870"/>
    <w:rsid w:val="009A5F4A"/>
    <w:rsid w:val="009A7812"/>
    <w:rsid w:val="009A7838"/>
    <w:rsid w:val="009A7984"/>
    <w:rsid w:val="009A7C51"/>
    <w:rsid w:val="009A7D94"/>
    <w:rsid w:val="009B0099"/>
    <w:rsid w:val="009B05A0"/>
    <w:rsid w:val="009B0686"/>
    <w:rsid w:val="009B0F97"/>
    <w:rsid w:val="009B14B0"/>
    <w:rsid w:val="009B18CF"/>
    <w:rsid w:val="009B1AF6"/>
    <w:rsid w:val="009B27A8"/>
    <w:rsid w:val="009B3EA9"/>
    <w:rsid w:val="009B5159"/>
    <w:rsid w:val="009B5293"/>
    <w:rsid w:val="009B532E"/>
    <w:rsid w:val="009B532F"/>
    <w:rsid w:val="009B5CC6"/>
    <w:rsid w:val="009B5CF6"/>
    <w:rsid w:val="009B612A"/>
    <w:rsid w:val="009B6256"/>
    <w:rsid w:val="009B67B6"/>
    <w:rsid w:val="009B6D8F"/>
    <w:rsid w:val="009B73DE"/>
    <w:rsid w:val="009B768D"/>
    <w:rsid w:val="009C00E4"/>
    <w:rsid w:val="009C0B53"/>
    <w:rsid w:val="009C0C10"/>
    <w:rsid w:val="009C0FDE"/>
    <w:rsid w:val="009C1586"/>
    <w:rsid w:val="009C163C"/>
    <w:rsid w:val="009C1B0E"/>
    <w:rsid w:val="009C1C90"/>
    <w:rsid w:val="009C1DDC"/>
    <w:rsid w:val="009C275C"/>
    <w:rsid w:val="009C2AFA"/>
    <w:rsid w:val="009C30BD"/>
    <w:rsid w:val="009C30E7"/>
    <w:rsid w:val="009C31B5"/>
    <w:rsid w:val="009C325C"/>
    <w:rsid w:val="009C37BA"/>
    <w:rsid w:val="009C46E5"/>
    <w:rsid w:val="009C4C32"/>
    <w:rsid w:val="009C4C34"/>
    <w:rsid w:val="009C5241"/>
    <w:rsid w:val="009C5BD1"/>
    <w:rsid w:val="009C5EFC"/>
    <w:rsid w:val="009C5F00"/>
    <w:rsid w:val="009C6FB7"/>
    <w:rsid w:val="009C7299"/>
    <w:rsid w:val="009C7E11"/>
    <w:rsid w:val="009D08FD"/>
    <w:rsid w:val="009D11AE"/>
    <w:rsid w:val="009D13F3"/>
    <w:rsid w:val="009D1A26"/>
    <w:rsid w:val="009D1EE4"/>
    <w:rsid w:val="009D204F"/>
    <w:rsid w:val="009D24B9"/>
    <w:rsid w:val="009D26C6"/>
    <w:rsid w:val="009D3753"/>
    <w:rsid w:val="009D3F29"/>
    <w:rsid w:val="009D4909"/>
    <w:rsid w:val="009D4CB3"/>
    <w:rsid w:val="009D52F3"/>
    <w:rsid w:val="009D536A"/>
    <w:rsid w:val="009D53C0"/>
    <w:rsid w:val="009D558F"/>
    <w:rsid w:val="009D56B6"/>
    <w:rsid w:val="009D689F"/>
    <w:rsid w:val="009D72C3"/>
    <w:rsid w:val="009D73B9"/>
    <w:rsid w:val="009D7667"/>
    <w:rsid w:val="009D7BEB"/>
    <w:rsid w:val="009D7E4B"/>
    <w:rsid w:val="009E0E19"/>
    <w:rsid w:val="009E2313"/>
    <w:rsid w:val="009E2901"/>
    <w:rsid w:val="009E2A96"/>
    <w:rsid w:val="009E2DAE"/>
    <w:rsid w:val="009E2E14"/>
    <w:rsid w:val="009E3011"/>
    <w:rsid w:val="009E3348"/>
    <w:rsid w:val="009E36E2"/>
    <w:rsid w:val="009E3772"/>
    <w:rsid w:val="009E3D36"/>
    <w:rsid w:val="009E432F"/>
    <w:rsid w:val="009E45FD"/>
    <w:rsid w:val="009E505E"/>
    <w:rsid w:val="009E5509"/>
    <w:rsid w:val="009E57BD"/>
    <w:rsid w:val="009E6274"/>
    <w:rsid w:val="009E65FC"/>
    <w:rsid w:val="009E6F06"/>
    <w:rsid w:val="009E7102"/>
    <w:rsid w:val="009E7B53"/>
    <w:rsid w:val="009E7D84"/>
    <w:rsid w:val="009E7E07"/>
    <w:rsid w:val="009F01F5"/>
    <w:rsid w:val="009F0988"/>
    <w:rsid w:val="009F0E67"/>
    <w:rsid w:val="009F1003"/>
    <w:rsid w:val="009F176C"/>
    <w:rsid w:val="009F1FD9"/>
    <w:rsid w:val="009F25C7"/>
    <w:rsid w:val="009F2B60"/>
    <w:rsid w:val="009F2C13"/>
    <w:rsid w:val="009F2F35"/>
    <w:rsid w:val="009F2F3A"/>
    <w:rsid w:val="009F4141"/>
    <w:rsid w:val="009F4311"/>
    <w:rsid w:val="009F53E7"/>
    <w:rsid w:val="009F54A5"/>
    <w:rsid w:val="009F568A"/>
    <w:rsid w:val="009F5CE9"/>
    <w:rsid w:val="009F6083"/>
    <w:rsid w:val="009F6616"/>
    <w:rsid w:val="009F69D6"/>
    <w:rsid w:val="009F6B71"/>
    <w:rsid w:val="009F6DF6"/>
    <w:rsid w:val="009F7196"/>
    <w:rsid w:val="00A007E6"/>
    <w:rsid w:val="00A0091C"/>
    <w:rsid w:val="00A00E0B"/>
    <w:rsid w:val="00A0106C"/>
    <w:rsid w:val="00A013DE"/>
    <w:rsid w:val="00A01988"/>
    <w:rsid w:val="00A02148"/>
    <w:rsid w:val="00A024BE"/>
    <w:rsid w:val="00A02E7A"/>
    <w:rsid w:val="00A031E2"/>
    <w:rsid w:val="00A0344D"/>
    <w:rsid w:val="00A03505"/>
    <w:rsid w:val="00A03526"/>
    <w:rsid w:val="00A03A18"/>
    <w:rsid w:val="00A03B42"/>
    <w:rsid w:val="00A050B2"/>
    <w:rsid w:val="00A051D8"/>
    <w:rsid w:val="00A059BD"/>
    <w:rsid w:val="00A07355"/>
    <w:rsid w:val="00A07A44"/>
    <w:rsid w:val="00A1000D"/>
    <w:rsid w:val="00A10499"/>
    <w:rsid w:val="00A10F6E"/>
    <w:rsid w:val="00A118CA"/>
    <w:rsid w:val="00A11A43"/>
    <w:rsid w:val="00A11C28"/>
    <w:rsid w:val="00A11D1D"/>
    <w:rsid w:val="00A11F65"/>
    <w:rsid w:val="00A120A3"/>
    <w:rsid w:val="00A121E3"/>
    <w:rsid w:val="00A123DA"/>
    <w:rsid w:val="00A1290F"/>
    <w:rsid w:val="00A129F7"/>
    <w:rsid w:val="00A13524"/>
    <w:rsid w:val="00A13E6B"/>
    <w:rsid w:val="00A140A7"/>
    <w:rsid w:val="00A1447F"/>
    <w:rsid w:val="00A148D8"/>
    <w:rsid w:val="00A15A4A"/>
    <w:rsid w:val="00A166D7"/>
    <w:rsid w:val="00A16A18"/>
    <w:rsid w:val="00A16D92"/>
    <w:rsid w:val="00A1778C"/>
    <w:rsid w:val="00A202E9"/>
    <w:rsid w:val="00A2122B"/>
    <w:rsid w:val="00A21EB0"/>
    <w:rsid w:val="00A21F5D"/>
    <w:rsid w:val="00A22806"/>
    <w:rsid w:val="00A228F7"/>
    <w:rsid w:val="00A23233"/>
    <w:rsid w:val="00A2357F"/>
    <w:rsid w:val="00A235C8"/>
    <w:rsid w:val="00A23CBE"/>
    <w:rsid w:val="00A240A1"/>
    <w:rsid w:val="00A247DF"/>
    <w:rsid w:val="00A250BD"/>
    <w:rsid w:val="00A25C4B"/>
    <w:rsid w:val="00A26272"/>
    <w:rsid w:val="00A26A69"/>
    <w:rsid w:val="00A26ECB"/>
    <w:rsid w:val="00A272FB"/>
    <w:rsid w:val="00A27350"/>
    <w:rsid w:val="00A3007F"/>
    <w:rsid w:val="00A30339"/>
    <w:rsid w:val="00A3033B"/>
    <w:rsid w:val="00A306DA"/>
    <w:rsid w:val="00A30BAC"/>
    <w:rsid w:val="00A3111A"/>
    <w:rsid w:val="00A31A56"/>
    <w:rsid w:val="00A31D7D"/>
    <w:rsid w:val="00A324B8"/>
    <w:rsid w:val="00A32BE7"/>
    <w:rsid w:val="00A33DF9"/>
    <w:rsid w:val="00A344FC"/>
    <w:rsid w:val="00A34789"/>
    <w:rsid w:val="00A34A25"/>
    <w:rsid w:val="00A3669A"/>
    <w:rsid w:val="00A36E0C"/>
    <w:rsid w:val="00A36E61"/>
    <w:rsid w:val="00A36F95"/>
    <w:rsid w:val="00A37163"/>
    <w:rsid w:val="00A375BA"/>
    <w:rsid w:val="00A3765E"/>
    <w:rsid w:val="00A377F7"/>
    <w:rsid w:val="00A40927"/>
    <w:rsid w:val="00A40A9E"/>
    <w:rsid w:val="00A40E99"/>
    <w:rsid w:val="00A413B5"/>
    <w:rsid w:val="00A415B9"/>
    <w:rsid w:val="00A41BA0"/>
    <w:rsid w:val="00A41EF0"/>
    <w:rsid w:val="00A420E7"/>
    <w:rsid w:val="00A426E4"/>
    <w:rsid w:val="00A42D8E"/>
    <w:rsid w:val="00A4367F"/>
    <w:rsid w:val="00A436B4"/>
    <w:rsid w:val="00A43B19"/>
    <w:rsid w:val="00A4419F"/>
    <w:rsid w:val="00A441AF"/>
    <w:rsid w:val="00A449F4"/>
    <w:rsid w:val="00A4526C"/>
    <w:rsid w:val="00A4564F"/>
    <w:rsid w:val="00A46D15"/>
    <w:rsid w:val="00A46EFC"/>
    <w:rsid w:val="00A4730F"/>
    <w:rsid w:val="00A475C5"/>
    <w:rsid w:val="00A50512"/>
    <w:rsid w:val="00A5071F"/>
    <w:rsid w:val="00A50A84"/>
    <w:rsid w:val="00A52DE7"/>
    <w:rsid w:val="00A5344A"/>
    <w:rsid w:val="00A546DC"/>
    <w:rsid w:val="00A549E0"/>
    <w:rsid w:val="00A54BF6"/>
    <w:rsid w:val="00A54DD3"/>
    <w:rsid w:val="00A55436"/>
    <w:rsid w:val="00A556A5"/>
    <w:rsid w:val="00A55A2B"/>
    <w:rsid w:val="00A55CE0"/>
    <w:rsid w:val="00A55D23"/>
    <w:rsid w:val="00A55D74"/>
    <w:rsid w:val="00A55E81"/>
    <w:rsid w:val="00A56500"/>
    <w:rsid w:val="00A5772B"/>
    <w:rsid w:val="00A578D3"/>
    <w:rsid w:val="00A60021"/>
    <w:rsid w:val="00A60386"/>
    <w:rsid w:val="00A603A0"/>
    <w:rsid w:val="00A60A57"/>
    <w:rsid w:val="00A60BC3"/>
    <w:rsid w:val="00A615E9"/>
    <w:rsid w:val="00A616B6"/>
    <w:rsid w:val="00A61964"/>
    <w:rsid w:val="00A61AF4"/>
    <w:rsid w:val="00A62918"/>
    <w:rsid w:val="00A62BB3"/>
    <w:rsid w:val="00A6360E"/>
    <w:rsid w:val="00A63AF2"/>
    <w:rsid w:val="00A63B2C"/>
    <w:rsid w:val="00A63B99"/>
    <w:rsid w:val="00A63E66"/>
    <w:rsid w:val="00A63FB1"/>
    <w:rsid w:val="00A641E8"/>
    <w:rsid w:val="00A64C28"/>
    <w:rsid w:val="00A65616"/>
    <w:rsid w:val="00A6599F"/>
    <w:rsid w:val="00A66081"/>
    <w:rsid w:val="00A663BF"/>
    <w:rsid w:val="00A66AE4"/>
    <w:rsid w:val="00A675ED"/>
    <w:rsid w:val="00A67B75"/>
    <w:rsid w:val="00A67CCE"/>
    <w:rsid w:val="00A67D10"/>
    <w:rsid w:val="00A71975"/>
    <w:rsid w:val="00A72076"/>
    <w:rsid w:val="00A7212A"/>
    <w:rsid w:val="00A72866"/>
    <w:rsid w:val="00A737BE"/>
    <w:rsid w:val="00A73A0F"/>
    <w:rsid w:val="00A74838"/>
    <w:rsid w:val="00A749E1"/>
    <w:rsid w:val="00A7642D"/>
    <w:rsid w:val="00A76E3F"/>
    <w:rsid w:val="00A76F81"/>
    <w:rsid w:val="00A7735E"/>
    <w:rsid w:val="00A77FBA"/>
    <w:rsid w:val="00A8079C"/>
    <w:rsid w:val="00A80EA3"/>
    <w:rsid w:val="00A81733"/>
    <w:rsid w:val="00A81AF4"/>
    <w:rsid w:val="00A81DA5"/>
    <w:rsid w:val="00A81DD5"/>
    <w:rsid w:val="00A81E59"/>
    <w:rsid w:val="00A81FCF"/>
    <w:rsid w:val="00A8288B"/>
    <w:rsid w:val="00A82DF2"/>
    <w:rsid w:val="00A84589"/>
    <w:rsid w:val="00A84753"/>
    <w:rsid w:val="00A84881"/>
    <w:rsid w:val="00A84C5A"/>
    <w:rsid w:val="00A85A87"/>
    <w:rsid w:val="00A85E80"/>
    <w:rsid w:val="00A860D4"/>
    <w:rsid w:val="00A8644F"/>
    <w:rsid w:val="00A86797"/>
    <w:rsid w:val="00A86984"/>
    <w:rsid w:val="00A873FC"/>
    <w:rsid w:val="00A87A23"/>
    <w:rsid w:val="00A87BC1"/>
    <w:rsid w:val="00A87E7C"/>
    <w:rsid w:val="00A87EB7"/>
    <w:rsid w:val="00A87F0F"/>
    <w:rsid w:val="00A90835"/>
    <w:rsid w:val="00A90C33"/>
    <w:rsid w:val="00A9126E"/>
    <w:rsid w:val="00A91646"/>
    <w:rsid w:val="00A91816"/>
    <w:rsid w:val="00A918CA"/>
    <w:rsid w:val="00A9204E"/>
    <w:rsid w:val="00A92399"/>
    <w:rsid w:val="00A92E38"/>
    <w:rsid w:val="00A93053"/>
    <w:rsid w:val="00A9318D"/>
    <w:rsid w:val="00A93891"/>
    <w:rsid w:val="00A93B33"/>
    <w:rsid w:val="00A93EDA"/>
    <w:rsid w:val="00A943F8"/>
    <w:rsid w:val="00A94670"/>
    <w:rsid w:val="00A94DC7"/>
    <w:rsid w:val="00A94F25"/>
    <w:rsid w:val="00A960AE"/>
    <w:rsid w:val="00A96AAF"/>
    <w:rsid w:val="00A97298"/>
    <w:rsid w:val="00A97363"/>
    <w:rsid w:val="00A977F1"/>
    <w:rsid w:val="00A97845"/>
    <w:rsid w:val="00A97BBE"/>
    <w:rsid w:val="00AA018D"/>
    <w:rsid w:val="00AA07E8"/>
    <w:rsid w:val="00AA0CDC"/>
    <w:rsid w:val="00AA1138"/>
    <w:rsid w:val="00AA1273"/>
    <w:rsid w:val="00AA145C"/>
    <w:rsid w:val="00AA287C"/>
    <w:rsid w:val="00AA28DE"/>
    <w:rsid w:val="00AA29D2"/>
    <w:rsid w:val="00AA2C24"/>
    <w:rsid w:val="00AA302E"/>
    <w:rsid w:val="00AA37A0"/>
    <w:rsid w:val="00AA3CF0"/>
    <w:rsid w:val="00AA3D35"/>
    <w:rsid w:val="00AA3F63"/>
    <w:rsid w:val="00AA4865"/>
    <w:rsid w:val="00AA4D6A"/>
    <w:rsid w:val="00AA4EFC"/>
    <w:rsid w:val="00AA587F"/>
    <w:rsid w:val="00AA5C8E"/>
    <w:rsid w:val="00AA5FC0"/>
    <w:rsid w:val="00AA6732"/>
    <w:rsid w:val="00AA6FDB"/>
    <w:rsid w:val="00AA7044"/>
    <w:rsid w:val="00AA741A"/>
    <w:rsid w:val="00AA757D"/>
    <w:rsid w:val="00AA760D"/>
    <w:rsid w:val="00AA765F"/>
    <w:rsid w:val="00AA7841"/>
    <w:rsid w:val="00AA79AA"/>
    <w:rsid w:val="00AA7EF6"/>
    <w:rsid w:val="00AB02A2"/>
    <w:rsid w:val="00AB0869"/>
    <w:rsid w:val="00AB0D46"/>
    <w:rsid w:val="00AB0D4E"/>
    <w:rsid w:val="00AB0E4C"/>
    <w:rsid w:val="00AB174C"/>
    <w:rsid w:val="00AB17C0"/>
    <w:rsid w:val="00AB2147"/>
    <w:rsid w:val="00AB2ACD"/>
    <w:rsid w:val="00AB2D71"/>
    <w:rsid w:val="00AB47F2"/>
    <w:rsid w:val="00AB60EF"/>
    <w:rsid w:val="00AB61D7"/>
    <w:rsid w:val="00AB64CF"/>
    <w:rsid w:val="00AB68A1"/>
    <w:rsid w:val="00AB7807"/>
    <w:rsid w:val="00AC0346"/>
    <w:rsid w:val="00AC034F"/>
    <w:rsid w:val="00AC045C"/>
    <w:rsid w:val="00AC06D9"/>
    <w:rsid w:val="00AC0A2E"/>
    <w:rsid w:val="00AC0CAE"/>
    <w:rsid w:val="00AC0E7A"/>
    <w:rsid w:val="00AC0F72"/>
    <w:rsid w:val="00AC1002"/>
    <w:rsid w:val="00AC138B"/>
    <w:rsid w:val="00AC1456"/>
    <w:rsid w:val="00AC1814"/>
    <w:rsid w:val="00AC1A5C"/>
    <w:rsid w:val="00AC1C27"/>
    <w:rsid w:val="00AC2B88"/>
    <w:rsid w:val="00AC3268"/>
    <w:rsid w:val="00AC33DD"/>
    <w:rsid w:val="00AC35BE"/>
    <w:rsid w:val="00AC36D5"/>
    <w:rsid w:val="00AC38F8"/>
    <w:rsid w:val="00AC3A1E"/>
    <w:rsid w:val="00AC3C4E"/>
    <w:rsid w:val="00AC3CBF"/>
    <w:rsid w:val="00AC4049"/>
    <w:rsid w:val="00AC453A"/>
    <w:rsid w:val="00AC4C4A"/>
    <w:rsid w:val="00AC4CD4"/>
    <w:rsid w:val="00AC5199"/>
    <w:rsid w:val="00AC551A"/>
    <w:rsid w:val="00AC5AC2"/>
    <w:rsid w:val="00AC5AF1"/>
    <w:rsid w:val="00AC5E44"/>
    <w:rsid w:val="00AC6099"/>
    <w:rsid w:val="00AC6324"/>
    <w:rsid w:val="00AC6731"/>
    <w:rsid w:val="00AC7685"/>
    <w:rsid w:val="00AC7BF5"/>
    <w:rsid w:val="00AC7F68"/>
    <w:rsid w:val="00AD01F1"/>
    <w:rsid w:val="00AD04F4"/>
    <w:rsid w:val="00AD0ADD"/>
    <w:rsid w:val="00AD1BF1"/>
    <w:rsid w:val="00AD20FD"/>
    <w:rsid w:val="00AD24BA"/>
    <w:rsid w:val="00AD25ED"/>
    <w:rsid w:val="00AD3A0D"/>
    <w:rsid w:val="00AD3A2D"/>
    <w:rsid w:val="00AD4F4A"/>
    <w:rsid w:val="00AD5AFD"/>
    <w:rsid w:val="00AD62E8"/>
    <w:rsid w:val="00AD6303"/>
    <w:rsid w:val="00AD6828"/>
    <w:rsid w:val="00AD684E"/>
    <w:rsid w:val="00AD7E56"/>
    <w:rsid w:val="00AE0337"/>
    <w:rsid w:val="00AE08AB"/>
    <w:rsid w:val="00AE0A0D"/>
    <w:rsid w:val="00AE0F3F"/>
    <w:rsid w:val="00AE1D22"/>
    <w:rsid w:val="00AE38B6"/>
    <w:rsid w:val="00AE3F6B"/>
    <w:rsid w:val="00AE4459"/>
    <w:rsid w:val="00AE44AB"/>
    <w:rsid w:val="00AE483F"/>
    <w:rsid w:val="00AE4850"/>
    <w:rsid w:val="00AE51FA"/>
    <w:rsid w:val="00AE584F"/>
    <w:rsid w:val="00AE6705"/>
    <w:rsid w:val="00AE67C4"/>
    <w:rsid w:val="00AF0157"/>
    <w:rsid w:val="00AF0267"/>
    <w:rsid w:val="00AF1553"/>
    <w:rsid w:val="00AF1C94"/>
    <w:rsid w:val="00AF1CBA"/>
    <w:rsid w:val="00AF25BB"/>
    <w:rsid w:val="00AF2B92"/>
    <w:rsid w:val="00AF3B6D"/>
    <w:rsid w:val="00AF43BD"/>
    <w:rsid w:val="00AF43D8"/>
    <w:rsid w:val="00AF4876"/>
    <w:rsid w:val="00AF4A7C"/>
    <w:rsid w:val="00AF5236"/>
    <w:rsid w:val="00AF630D"/>
    <w:rsid w:val="00AF633E"/>
    <w:rsid w:val="00AF69C4"/>
    <w:rsid w:val="00AF7E7D"/>
    <w:rsid w:val="00B002D3"/>
    <w:rsid w:val="00B004DD"/>
    <w:rsid w:val="00B00E5C"/>
    <w:rsid w:val="00B00F21"/>
    <w:rsid w:val="00B010CE"/>
    <w:rsid w:val="00B01427"/>
    <w:rsid w:val="00B01E64"/>
    <w:rsid w:val="00B02134"/>
    <w:rsid w:val="00B0244A"/>
    <w:rsid w:val="00B0265E"/>
    <w:rsid w:val="00B0280A"/>
    <w:rsid w:val="00B02CBA"/>
    <w:rsid w:val="00B03281"/>
    <w:rsid w:val="00B03522"/>
    <w:rsid w:val="00B03736"/>
    <w:rsid w:val="00B04C90"/>
    <w:rsid w:val="00B05002"/>
    <w:rsid w:val="00B05485"/>
    <w:rsid w:val="00B05BF8"/>
    <w:rsid w:val="00B06C00"/>
    <w:rsid w:val="00B0716D"/>
    <w:rsid w:val="00B07239"/>
    <w:rsid w:val="00B07496"/>
    <w:rsid w:val="00B077AB"/>
    <w:rsid w:val="00B115BF"/>
    <w:rsid w:val="00B11955"/>
    <w:rsid w:val="00B11A7B"/>
    <w:rsid w:val="00B11ABD"/>
    <w:rsid w:val="00B1280D"/>
    <w:rsid w:val="00B1459C"/>
    <w:rsid w:val="00B15662"/>
    <w:rsid w:val="00B162FD"/>
    <w:rsid w:val="00B16A84"/>
    <w:rsid w:val="00B16A94"/>
    <w:rsid w:val="00B176E4"/>
    <w:rsid w:val="00B17DA4"/>
    <w:rsid w:val="00B20336"/>
    <w:rsid w:val="00B20A72"/>
    <w:rsid w:val="00B213F1"/>
    <w:rsid w:val="00B21CDE"/>
    <w:rsid w:val="00B22C4A"/>
    <w:rsid w:val="00B23065"/>
    <w:rsid w:val="00B23820"/>
    <w:rsid w:val="00B23B8C"/>
    <w:rsid w:val="00B24433"/>
    <w:rsid w:val="00B245F3"/>
    <w:rsid w:val="00B24732"/>
    <w:rsid w:val="00B24BBD"/>
    <w:rsid w:val="00B258F3"/>
    <w:rsid w:val="00B259DE"/>
    <w:rsid w:val="00B25E33"/>
    <w:rsid w:val="00B26000"/>
    <w:rsid w:val="00B261FC"/>
    <w:rsid w:val="00B2706F"/>
    <w:rsid w:val="00B275B8"/>
    <w:rsid w:val="00B3107B"/>
    <w:rsid w:val="00B3113D"/>
    <w:rsid w:val="00B31BD2"/>
    <w:rsid w:val="00B32B13"/>
    <w:rsid w:val="00B3349D"/>
    <w:rsid w:val="00B334BA"/>
    <w:rsid w:val="00B33E20"/>
    <w:rsid w:val="00B3423A"/>
    <w:rsid w:val="00B344CA"/>
    <w:rsid w:val="00B346BF"/>
    <w:rsid w:val="00B3508B"/>
    <w:rsid w:val="00B35B06"/>
    <w:rsid w:val="00B35C1B"/>
    <w:rsid w:val="00B36107"/>
    <w:rsid w:val="00B3652B"/>
    <w:rsid w:val="00B36BFC"/>
    <w:rsid w:val="00B36D01"/>
    <w:rsid w:val="00B36D22"/>
    <w:rsid w:val="00B3717F"/>
    <w:rsid w:val="00B37548"/>
    <w:rsid w:val="00B37870"/>
    <w:rsid w:val="00B40225"/>
    <w:rsid w:val="00B40C83"/>
    <w:rsid w:val="00B40ED4"/>
    <w:rsid w:val="00B419B9"/>
    <w:rsid w:val="00B41FC9"/>
    <w:rsid w:val="00B423AC"/>
    <w:rsid w:val="00B430A0"/>
    <w:rsid w:val="00B4384E"/>
    <w:rsid w:val="00B443C1"/>
    <w:rsid w:val="00B44A71"/>
    <w:rsid w:val="00B4510F"/>
    <w:rsid w:val="00B45412"/>
    <w:rsid w:val="00B46B90"/>
    <w:rsid w:val="00B47191"/>
    <w:rsid w:val="00B47A88"/>
    <w:rsid w:val="00B47C49"/>
    <w:rsid w:val="00B50E0A"/>
    <w:rsid w:val="00B511E3"/>
    <w:rsid w:val="00B53266"/>
    <w:rsid w:val="00B53A36"/>
    <w:rsid w:val="00B53A82"/>
    <w:rsid w:val="00B53B15"/>
    <w:rsid w:val="00B54368"/>
    <w:rsid w:val="00B5505C"/>
    <w:rsid w:val="00B553C1"/>
    <w:rsid w:val="00B56756"/>
    <w:rsid w:val="00B571B7"/>
    <w:rsid w:val="00B572F7"/>
    <w:rsid w:val="00B57302"/>
    <w:rsid w:val="00B5768F"/>
    <w:rsid w:val="00B5787F"/>
    <w:rsid w:val="00B57E1B"/>
    <w:rsid w:val="00B6020E"/>
    <w:rsid w:val="00B602ED"/>
    <w:rsid w:val="00B60A7C"/>
    <w:rsid w:val="00B61205"/>
    <w:rsid w:val="00B61C45"/>
    <w:rsid w:val="00B61FF3"/>
    <w:rsid w:val="00B624BD"/>
    <w:rsid w:val="00B62616"/>
    <w:rsid w:val="00B62750"/>
    <w:rsid w:val="00B62978"/>
    <w:rsid w:val="00B6372D"/>
    <w:rsid w:val="00B637BE"/>
    <w:rsid w:val="00B63D09"/>
    <w:rsid w:val="00B63D37"/>
    <w:rsid w:val="00B63DAB"/>
    <w:rsid w:val="00B643A0"/>
    <w:rsid w:val="00B645D5"/>
    <w:rsid w:val="00B64BEE"/>
    <w:rsid w:val="00B6524E"/>
    <w:rsid w:val="00B654D9"/>
    <w:rsid w:val="00B659E8"/>
    <w:rsid w:val="00B65C37"/>
    <w:rsid w:val="00B65C9B"/>
    <w:rsid w:val="00B66277"/>
    <w:rsid w:val="00B6670D"/>
    <w:rsid w:val="00B66899"/>
    <w:rsid w:val="00B66FDE"/>
    <w:rsid w:val="00B67C71"/>
    <w:rsid w:val="00B7087C"/>
    <w:rsid w:val="00B70C0E"/>
    <w:rsid w:val="00B712C5"/>
    <w:rsid w:val="00B71415"/>
    <w:rsid w:val="00B716B3"/>
    <w:rsid w:val="00B71E31"/>
    <w:rsid w:val="00B726B4"/>
    <w:rsid w:val="00B728F9"/>
    <w:rsid w:val="00B72FC9"/>
    <w:rsid w:val="00B73354"/>
    <w:rsid w:val="00B73619"/>
    <w:rsid w:val="00B73D6F"/>
    <w:rsid w:val="00B73E00"/>
    <w:rsid w:val="00B74259"/>
    <w:rsid w:val="00B74A47"/>
    <w:rsid w:val="00B75838"/>
    <w:rsid w:val="00B75A38"/>
    <w:rsid w:val="00B75C93"/>
    <w:rsid w:val="00B771C1"/>
    <w:rsid w:val="00B77854"/>
    <w:rsid w:val="00B77D67"/>
    <w:rsid w:val="00B77DAB"/>
    <w:rsid w:val="00B80856"/>
    <w:rsid w:val="00B80C85"/>
    <w:rsid w:val="00B81338"/>
    <w:rsid w:val="00B82FD9"/>
    <w:rsid w:val="00B83160"/>
    <w:rsid w:val="00B83385"/>
    <w:rsid w:val="00B83A31"/>
    <w:rsid w:val="00B83C1B"/>
    <w:rsid w:val="00B83D59"/>
    <w:rsid w:val="00B84077"/>
    <w:rsid w:val="00B8435E"/>
    <w:rsid w:val="00B849A0"/>
    <w:rsid w:val="00B84D41"/>
    <w:rsid w:val="00B84F81"/>
    <w:rsid w:val="00B85B88"/>
    <w:rsid w:val="00B8624E"/>
    <w:rsid w:val="00B862CD"/>
    <w:rsid w:val="00B8661B"/>
    <w:rsid w:val="00B86730"/>
    <w:rsid w:val="00B87154"/>
    <w:rsid w:val="00B873DA"/>
    <w:rsid w:val="00B878E2"/>
    <w:rsid w:val="00B87A0A"/>
    <w:rsid w:val="00B90CC1"/>
    <w:rsid w:val="00B90E0F"/>
    <w:rsid w:val="00B90E70"/>
    <w:rsid w:val="00B91215"/>
    <w:rsid w:val="00B91D36"/>
    <w:rsid w:val="00B921EF"/>
    <w:rsid w:val="00B92720"/>
    <w:rsid w:val="00B92E70"/>
    <w:rsid w:val="00B93F6E"/>
    <w:rsid w:val="00B941C0"/>
    <w:rsid w:val="00B94467"/>
    <w:rsid w:val="00B94533"/>
    <w:rsid w:val="00B949BB"/>
    <w:rsid w:val="00B94DDD"/>
    <w:rsid w:val="00B94F9E"/>
    <w:rsid w:val="00B96ABE"/>
    <w:rsid w:val="00B96F15"/>
    <w:rsid w:val="00B97AF3"/>
    <w:rsid w:val="00BA040A"/>
    <w:rsid w:val="00BA0569"/>
    <w:rsid w:val="00BA1649"/>
    <w:rsid w:val="00BA1A59"/>
    <w:rsid w:val="00BA1D1A"/>
    <w:rsid w:val="00BA24F0"/>
    <w:rsid w:val="00BA2C0D"/>
    <w:rsid w:val="00BA3888"/>
    <w:rsid w:val="00BA42ED"/>
    <w:rsid w:val="00BA47C4"/>
    <w:rsid w:val="00BA5142"/>
    <w:rsid w:val="00BA57E0"/>
    <w:rsid w:val="00BA624D"/>
    <w:rsid w:val="00BA6919"/>
    <w:rsid w:val="00BA6E62"/>
    <w:rsid w:val="00BA6FFF"/>
    <w:rsid w:val="00BA7120"/>
    <w:rsid w:val="00BA72DD"/>
    <w:rsid w:val="00BB058B"/>
    <w:rsid w:val="00BB06C6"/>
    <w:rsid w:val="00BB1FEB"/>
    <w:rsid w:val="00BB2117"/>
    <w:rsid w:val="00BB21E9"/>
    <w:rsid w:val="00BB2456"/>
    <w:rsid w:val="00BB2BC1"/>
    <w:rsid w:val="00BB2DF2"/>
    <w:rsid w:val="00BB369A"/>
    <w:rsid w:val="00BB3A1D"/>
    <w:rsid w:val="00BB523B"/>
    <w:rsid w:val="00BB52B0"/>
    <w:rsid w:val="00BB5386"/>
    <w:rsid w:val="00BB5557"/>
    <w:rsid w:val="00BB5852"/>
    <w:rsid w:val="00BB5E67"/>
    <w:rsid w:val="00BB6B23"/>
    <w:rsid w:val="00BB78AF"/>
    <w:rsid w:val="00BB7934"/>
    <w:rsid w:val="00BC042E"/>
    <w:rsid w:val="00BC0547"/>
    <w:rsid w:val="00BC0763"/>
    <w:rsid w:val="00BC0F23"/>
    <w:rsid w:val="00BC1533"/>
    <w:rsid w:val="00BC291F"/>
    <w:rsid w:val="00BC29F8"/>
    <w:rsid w:val="00BC2F89"/>
    <w:rsid w:val="00BC330A"/>
    <w:rsid w:val="00BC3AE6"/>
    <w:rsid w:val="00BC3FA7"/>
    <w:rsid w:val="00BC445B"/>
    <w:rsid w:val="00BC4BD1"/>
    <w:rsid w:val="00BC4D54"/>
    <w:rsid w:val="00BC4E55"/>
    <w:rsid w:val="00BC4E7A"/>
    <w:rsid w:val="00BC5F54"/>
    <w:rsid w:val="00BC62ED"/>
    <w:rsid w:val="00BC63BD"/>
    <w:rsid w:val="00BC6738"/>
    <w:rsid w:val="00BC6A46"/>
    <w:rsid w:val="00BC6DBD"/>
    <w:rsid w:val="00BC6EF1"/>
    <w:rsid w:val="00BC70DF"/>
    <w:rsid w:val="00BC73BA"/>
    <w:rsid w:val="00BD00F1"/>
    <w:rsid w:val="00BD0CFA"/>
    <w:rsid w:val="00BD0FDA"/>
    <w:rsid w:val="00BD1BEB"/>
    <w:rsid w:val="00BD2116"/>
    <w:rsid w:val="00BD22A7"/>
    <w:rsid w:val="00BD248A"/>
    <w:rsid w:val="00BD24A4"/>
    <w:rsid w:val="00BD2D47"/>
    <w:rsid w:val="00BD2E02"/>
    <w:rsid w:val="00BD30A6"/>
    <w:rsid w:val="00BD3166"/>
    <w:rsid w:val="00BD3E3C"/>
    <w:rsid w:val="00BD447F"/>
    <w:rsid w:val="00BD4F12"/>
    <w:rsid w:val="00BD5075"/>
    <w:rsid w:val="00BD5651"/>
    <w:rsid w:val="00BD60A9"/>
    <w:rsid w:val="00BD6816"/>
    <w:rsid w:val="00BD6A15"/>
    <w:rsid w:val="00BD6EDC"/>
    <w:rsid w:val="00BD7233"/>
    <w:rsid w:val="00BD7D8F"/>
    <w:rsid w:val="00BE0224"/>
    <w:rsid w:val="00BE05CB"/>
    <w:rsid w:val="00BE16B6"/>
    <w:rsid w:val="00BE1A50"/>
    <w:rsid w:val="00BE23E7"/>
    <w:rsid w:val="00BE240A"/>
    <w:rsid w:val="00BE26AA"/>
    <w:rsid w:val="00BE27BA"/>
    <w:rsid w:val="00BE32D7"/>
    <w:rsid w:val="00BE3344"/>
    <w:rsid w:val="00BE3EC2"/>
    <w:rsid w:val="00BE41D1"/>
    <w:rsid w:val="00BE47DF"/>
    <w:rsid w:val="00BE47EA"/>
    <w:rsid w:val="00BE5D24"/>
    <w:rsid w:val="00BE7B86"/>
    <w:rsid w:val="00BF09AC"/>
    <w:rsid w:val="00BF0CDD"/>
    <w:rsid w:val="00BF1578"/>
    <w:rsid w:val="00BF17FD"/>
    <w:rsid w:val="00BF1A89"/>
    <w:rsid w:val="00BF1AC8"/>
    <w:rsid w:val="00BF24E7"/>
    <w:rsid w:val="00BF2FCC"/>
    <w:rsid w:val="00BF32FA"/>
    <w:rsid w:val="00BF340A"/>
    <w:rsid w:val="00BF374E"/>
    <w:rsid w:val="00BF3D48"/>
    <w:rsid w:val="00BF4607"/>
    <w:rsid w:val="00BF48C9"/>
    <w:rsid w:val="00BF5881"/>
    <w:rsid w:val="00BF5989"/>
    <w:rsid w:val="00BF6299"/>
    <w:rsid w:val="00BF669B"/>
    <w:rsid w:val="00BF6F61"/>
    <w:rsid w:val="00BF7D8B"/>
    <w:rsid w:val="00C007A1"/>
    <w:rsid w:val="00C0080E"/>
    <w:rsid w:val="00C01134"/>
    <w:rsid w:val="00C014A4"/>
    <w:rsid w:val="00C01A91"/>
    <w:rsid w:val="00C01C23"/>
    <w:rsid w:val="00C01C75"/>
    <w:rsid w:val="00C021A7"/>
    <w:rsid w:val="00C02886"/>
    <w:rsid w:val="00C030F3"/>
    <w:rsid w:val="00C0481E"/>
    <w:rsid w:val="00C04D6D"/>
    <w:rsid w:val="00C0519F"/>
    <w:rsid w:val="00C058D0"/>
    <w:rsid w:val="00C059C6"/>
    <w:rsid w:val="00C05D68"/>
    <w:rsid w:val="00C05ED3"/>
    <w:rsid w:val="00C06575"/>
    <w:rsid w:val="00C06AF2"/>
    <w:rsid w:val="00C06B85"/>
    <w:rsid w:val="00C06E60"/>
    <w:rsid w:val="00C072DA"/>
    <w:rsid w:val="00C10756"/>
    <w:rsid w:val="00C10A52"/>
    <w:rsid w:val="00C10C2E"/>
    <w:rsid w:val="00C10CDE"/>
    <w:rsid w:val="00C11120"/>
    <w:rsid w:val="00C11375"/>
    <w:rsid w:val="00C115AF"/>
    <w:rsid w:val="00C11EF4"/>
    <w:rsid w:val="00C124EB"/>
    <w:rsid w:val="00C129A8"/>
    <w:rsid w:val="00C132AE"/>
    <w:rsid w:val="00C1391A"/>
    <w:rsid w:val="00C1433D"/>
    <w:rsid w:val="00C1446C"/>
    <w:rsid w:val="00C14B66"/>
    <w:rsid w:val="00C150E7"/>
    <w:rsid w:val="00C15463"/>
    <w:rsid w:val="00C15F5F"/>
    <w:rsid w:val="00C16061"/>
    <w:rsid w:val="00C16158"/>
    <w:rsid w:val="00C1616E"/>
    <w:rsid w:val="00C166D0"/>
    <w:rsid w:val="00C173FC"/>
    <w:rsid w:val="00C207D9"/>
    <w:rsid w:val="00C2091F"/>
    <w:rsid w:val="00C20AF7"/>
    <w:rsid w:val="00C20E30"/>
    <w:rsid w:val="00C20E5C"/>
    <w:rsid w:val="00C217E9"/>
    <w:rsid w:val="00C21DC0"/>
    <w:rsid w:val="00C223F5"/>
    <w:rsid w:val="00C22755"/>
    <w:rsid w:val="00C23A43"/>
    <w:rsid w:val="00C23CBB"/>
    <w:rsid w:val="00C23E16"/>
    <w:rsid w:val="00C240C6"/>
    <w:rsid w:val="00C240DF"/>
    <w:rsid w:val="00C24E8E"/>
    <w:rsid w:val="00C2560B"/>
    <w:rsid w:val="00C25A5F"/>
    <w:rsid w:val="00C25C1B"/>
    <w:rsid w:val="00C25EF1"/>
    <w:rsid w:val="00C263F6"/>
    <w:rsid w:val="00C26C28"/>
    <w:rsid w:val="00C30444"/>
    <w:rsid w:val="00C3071D"/>
    <w:rsid w:val="00C30A74"/>
    <w:rsid w:val="00C31460"/>
    <w:rsid w:val="00C3150E"/>
    <w:rsid w:val="00C319B4"/>
    <w:rsid w:val="00C32581"/>
    <w:rsid w:val="00C325E2"/>
    <w:rsid w:val="00C3296B"/>
    <w:rsid w:val="00C32ACA"/>
    <w:rsid w:val="00C33572"/>
    <w:rsid w:val="00C33745"/>
    <w:rsid w:val="00C345C2"/>
    <w:rsid w:val="00C3696D"/>
    <w:rsid w:val="00C36C29"/>
    <w:rsid w:val="00C36E81"/>
    <w:rsid w:val="00C376C7"/>
    <w:rsid w:val="00C37955"/>
    <w:rsid w:val="00C37CB5"/>
    <w:rsid w:val="00C4013B"/>
    <w:rsid w:val="00C402C6"/>
    <w:rsid w:val="00C40687"/>
    <w:rsid w:val="00C40725"/>
    <w:rsid w:val="00C4152B"/>
    <w:rsid w:val="00C419A1"/>
    <w:rsid w:val="00C42474"/>
    <w:rsid w:val="00C426B9"/>
    <w:rsid w:val="00C428AF"/>
    <w:rsid w:val="00C43189"/>
    <w:rsid w:val="00C445AC"/>
    <w:rsid w:val="00C44608"/>
    <w:rsid w:val="00C448DE"/>
    <w:rsid w:val="00C44ADE"/>
    <w:rsid w:val="00C44C01"/>
    <w:rsid w:val="00C44CDA"/>
    <w:rsid w:val="00C44F84"/>
    <w:rsid w:val="00C45A2C"/>
    <w:rsid w:val="00C45E63"/>
    <w:rsid w:val="00C46787"/>
    <w:rsid w:val="00C47118"/>
    <w:rsid w:val="00C47177"/>
    <w:rsid w:val="00C50199"/>
    <w:rsid w:val="00C5023D"/>
    <w:rsid w:val="00C503CC"/>
    <w:rsid w:val="00C50D30"/>
    <w:rsid w:val="00C51F80"/>
    <w:rsid w:val="00C51FAC"/>
    <w:rsid w:val="00C5207E"/>
    <w:rsid w:val="00C52264"/>
    <w:rsid w:val="00C52335"/>
    <w:rsid w:val="00C524FF"/>
    <w:rsid w:val="00C52509"/>
    <w:rsid w:val="00C52E9C"/>
    <w:rsid w:val="00C5600F"/>
    <w:rsid w:val="00C5651B"/>
    <w:rsid w:val="00C5712F"/>
    <w:rsid w:val="00C576FF"/>
    <w:rsid w:val="00C57990"/>
    <w:rsid w:val="00C60075"/>
    <w:rsid w:val="00C60A5C"/>
    <w:rsid w:val="00C60F29"/>
    <w:rsid w:val="00C61077"/>
    <w:rsid w:val="00C614ED"/>
    <w:rsid w:val="00C6162B"/>
    <w:rsid w:val="00C616E2"/>
    <w:rsid w:val="00C61ABD"/>
    <w:rsid w:val="00C62748"/>
    <w:rsid w:val="00C62CBC"/>
    <w:rsid w:val="00C631EE"/>
    <w:rsid w:val="00C63B47"/>
    <w:rsid w:val="00C63B61"/>
    <w:rsid w:val="00C63EB9"/>
    <w:rsid w:val="00C6475F"/>
    <w:rsid w:val="00C6479D"/>
    <w:rsid w:val="00C64ACF"/>
    <w:rsid w:val="00C657D3"/>
    <w:rsid w:val="00C657E0"/>
    <w:rsid w:val="00C657E4"/>
    <w:rsid w:val="00C65B15"/>
    <w:rsid w:val="00C66497"/>
    <w:rsid w:val="00C66946"/>
    <w:rsid w:val="00C6695B"/>
    <w:rsid w:val="00C66E07"/>
    <w:rsid w:val="00C673EF"/>
    <w:rsid w:val="00C67D3F"/>
    <w:rsid w:val="00C70CC3"/>
    <w:rsid w:val="00C714A2"/>
    <w:rsid w:val="00C7176C"/>
    <w:rsid w:val="00C71D84"/>
    <w:rsid w:val="00C721F6"/>
    <w:rsid w:val="00C72635"/>
    <w:rsid w:val="00C72BE3"/>
    <w:rsid w:val="00C73295"/>
    <w:rsid w:val="00C733B5"/>
    <w:rsid w:val="00C737AF"/>
    <w:rsid w:val="00C737E8"/>
    <w:rsid w:val="00C73B49"/>
    <w:rsid w:val="00C74571"/>
    <w:rsid w:val="00C74804"/>
    <w:rsid w:val="00C74B27"/>
    <w:rsid w:val="00C7548B"/>
    <w:rsid w:val="00C76864"/>
    <w:rsid w:val="00C77CBE"/>
    <w:rsid w:val="00C802BD"/>
    <w:rsid w:val="00C80775"/>
    <w:rsid w:val="00C811EF"/>
    <w:rsid w:val="00C812ED"/>
    <w:rsid w:val="00C813B3"/>
    <w:rsid w:val="00C815A3"/>
    <w:rsid w:val="00C81C7D"/>
    <w:rsid w:val="00C83613"/>
    <w:rsid w:val="00C83716"/>
    <w:rsid w:val="00C83AB9"/>
    <w:rsid w:val="00C83C0E"/>
    <w:rsid w:val="00C83DFD"/>
    <w:rsid w:val="00C846DC"/>
    <w:rsid w:val="00C84ADA"/>
    <w:rsid w:val="00C85280"/>
    <w:rsid w:val="00C854B1"/>
    <w:rsid w:val="00C8557A"/>
    <w:rsid w:val="00C8584C"/>
    <w:rsid w:val="00C863D1"/>
    <w:rsid w:val="00C8649A"/>
    <w:rsid w:val="00C86604"/>
    <w:rsid w:val="00C8660F"/>
    <w:rsid w:val="00C86623"/>
    <w:rsid w:val="00C867D0"/>
    <w:rsid w:val="00C86DE2"/>
    <w:rsid w:val="00C86DF7"/>
    <w:rsid w:val="00C87159"/>
    <w:rsid w:val="00C876E3"/>
    <w:rsid w:val="00C87819"/>
    <w:rsid w:val="00C87835"/>
    <w:rsid w:val="00C87E3C"/>
    <w:rsid w:val="00C90461"/>
    <w:rsid w:val="00C90A3F"/>
    <w:rsid w:val="00C90F71"/>
    <w:rsid w:val="00C91B49"/>
    <w:rsid w:val="00C929D9"/>
    <w:rsid w:val="00C92BD2"/>
    <w:rsid w:val="00C92BDF"/>
    <w:rsid w:val="00C92FE6"/>
    <w:rsid w:val="00C9307B"/>
    <w:rsid w:val="00C93590"/>
    <w:rsid w:val="00C93BD7"/>
    <w:rsid w:val="00C95EED"/>
    <w:rsid w:val="00C96B7A"/>
    <w:rsid w:val="00C96C03"/>
    <w:rsid w:val="00C979F0"/>
    <w:rsid w:val="00C97F6F"/>
    <w:rsid w:val="00CA036E"/>
    <w:rsid w:val="00CA183A"/>
    <w:rsid w:val="00CA1B56"/>
    <w:rsid w:val="00CA1CF5"/>
    <w:rsid w:val="00CA1E93"/>
    <w:rsid w:val="00CA2392"/>
    <w:rsid w:val="00CA2AED"/>
    <w:rsid w:val="00CA4055"/>
    <w:rsid w:val="00CA4AD9"/>
    <w:rsid w:val="00CA4ADB"/>
    <w:rsid w:val="00CA5164"/>
    <w:rsid w:val="00CA5518"/>
    <w:rsid w:val="00CA5BA3"/>
    <w:rsid w:val="00CA5DA2"/>
    <w:rsid w:val="00CA6A1F"/>
    <w:rsid w:val="00CA7AD7"/>
    <w:rsid w:val="00CB0204"/>
    <w:rsid w:val="00CB0411"/>
    <w:rsid w:val="00CB05C8"/>
    <w:rsid w:val="00CB1AB7"/>
    <w:rsid w:val="00CB1BF2"/>
    <w:rsid w:val="00CB2B0E"/>
    <w:rsid w:val="00CB2F33"/>
    <w:rsid w:val="00CB3140"/>
    <w:rsid w:val="00CB384D"/>
    <w:rsid w:val="00CB4800"/>
    <w:rsid w:val="00CB4ABA"/>
    <w:rsid w:val="00CB4ACA"/>
    <w:rsid w:val="00CB4CFA"/>
    <w:rsid w:val="00CB58D5"/>
    <w:rsid w:val="00CB5D28"/>
    <w:rsid w:val="00CB5E77"/>
    <w:rsid w:val="00CB6071"/>
    <w:rsid w:val="00CB6D5A"/>
    <w:rsid w:val="00CB6E6B"/>
    <w:rsid w:val="00CB6EB5"/>
    <w:rsid w:val="00CB7245"/>
    <w:rsid w:val="00CB7D33"/>
    <w:rsid w:val="00CC0310"/>
    <w:rsid w:val="00CC072E"/>
    <w:rsid w:val="00CC110B"/>
    <w:rsid w:val="00CC1554"/>
    <w:rsid w:val="00CC207A"/>
    <w:rsid w:val="00CC2B65"/>
    <w:rsid w:val="00CC2E07"/>
    <w:rsid w:val="00CC3486"/>
    <w:rsid w:val="00CC3908"/>
    <w:rsid w:val="00CC3A52"/>
    <w:rsid w:val="00CC458A"/>
    <w:rsid w:val="00CC49F5"/>
    <w:rsid w:val="00CC4B04"/>
    <w:rsid w:val="00CC4B08"/>
    <w:rsid w:val="00CC5B30"/>
    <w:rsid w:val="00CC6491"/>
    <w:rsid w:val="00CC7018"/>
    <w:rsid w:val="00CC7559"/>
    <w:rsid w:val="00CC7DDE"/>
    <w:rsid w:val="00CD0054"/>
    <w:rsid w:val="00CD01ED"/>
    <w:rsid w:val="00CD0661"/>
    <w:rsid w:val="00CD15CE"/>
    <w:rsid w:val="00CD1626"/>
    <w:rsid w:val="00CD1A0C"/>
    <w:rsid w:val="00CD2111"/>
    <w:rsid w:val="00CD2278"/>
    <w:rsid w:val="00CD2692"/>
    <w:rsid w:val="00CD3390"/>
    <w:rsid w:val="00CD374E"/>
    <w:rsid w:val="00CD3A4D"/>
    <w:rsid w:val="00CD468D"/>
    <w:rsid w:val="00CD4799"/>
    <w:rsid w:val="00CD4B3B"/>
    <w:rsid w:val="00CD4F14"/>
    <w:rsid w:val="00CD51AA"/>
    <w:rsid w:val="00CD54B5"/>
    <w:rsid w:val="00CD586A"/>
    <w:rsid w:val="00CD6508"/>
    <w:rsid w:val="00CD7728"/>
    <w:rsid w:val="00CD7AAE"/>
    <w:rsid w:val="00CD7E89"/>
    <w:rsid w:val="00CE066B"/>
    <w:rsid w:val="00CE0832"/>
    <w:rsid w:val="00CE1307"/>
    <w:rsid w:val="00CE1346"/>
    <w:rsid w:val="00CE136A"/>
    <w:rsid w:val="00CE1C89"/>
    <w:rsid w:val="00CE2991"/>
    <w:rsid w:val="00CE2CF1"/>
    <w:rsid w:val="00CE35BD"/>
    <w:rsid w:val="00CE3769"/>
    <w:rsid w:val="00CE3A2B"/>
    <w:rsid w:val="00CE3AAA"/>
    <w:rsid w:val="00CE3BE3"/>
    <w:rsid w:val="00CE3C42"/>
    <w:rsid w:val="00CE4316"/>
    <w:rsid w:val="00CE45BE"/>
    <w:rsid w:val="00CE4736"/>
    <w:rsid w:val="00CE4FC0"/>
    <w:rsid w:val="00CE545F"/>
    <w:rsid w:val="00CE54B0"/>
    <w:rsid w:val="00CE5981"/>
    <w:rsid w:val="00CE5FC8"/>
    <w:rsid w:val="00CE60F7"/>
    <w:rsid w:val="00CE61F3"/>
    <w:rsid w:val="00CE62F0"/>
    <w:rsid w:val="00CE687C"/>
    <w:rsid w:val="00CE77E1"/>
    <w:rsid w:val="00CE7A3B"/>
    <w:rsid w:val="00CF02D5"/>
    <w:rsid w:val="00CF1217"/>
    <w:rsid w:val="00CF1E49"/>
    <w:rsid w:val="00CF285C"/>
    <w:rsid w:val="00CF2F69"/>
    <w:rsid w:val="00CF36A6"/>
    <w:rsid w:val="00CF43FB"/>
    <w:rsid w:val="00CF6060"/>
    <w:rsid w:val="00CF6BF3"/>
    <w:rsid w:val="00CF6E83"/>
    <w:rsid w:val="00CF6F0D"/>
    <w:rsid w:val="00CF7226"/>
    <w:rsid w:val="00CF7D5E"/>
    <w:rsid w:val="00CF7DD7"/>
    <w:rsid w:val="00D00DB7"/>
    <w:rsid w:val="00D00DB8"/>
    <w:rsid w:val="00D00E0C"/>
    <w:rsid w:val="00D00E22"/>
    <w:rsid w:val="00D01419"/>
    <w:rsid w:val="00D01AD6"/>
    <w:rsid w:val="00D01BA9"/>
    <w:rsid w:val="00D0282D"/>
    <w:rsid w:val="00D02E89"/>
    <w:rsid w:val="00D03334"/>
    <w:rsid w:val="00D03502"/>
    <w:rsid w:val="00D037E9"/>
    <w:rsid w:val="00D03C5E"/>
    <w:rsid w:val="00D03DC7"/>
    <w:rsid w:val="00D05D1A"/>
    <w:rsid w:val="00D05E4D"/>
    <w:rsid w:val="00D05F4E"/>
    <w:rsid w:val="00D06594"/>
    <w:rsid w:val="00D069E2"/>
    <w:rsid w:val="00D0717A"/>
    <w:rsid w:val="00D07F86"/>
    <w:rsid w:val="00D10369"/>
    <w:rsid w:val="00D10626"/>
    <w:rsid w:val="00D10DF7"/>
    <w:rsid w:val="00D10F06"/>
    <w:rsid w:val="00D11046"/>
    <w:rsid w:val="00D113E5"/>
    <w:rsid w:val="00D11419"/>
    <w:rsid w:val="00D1156D"/>
    <w:rsid w:val="00D11895"/>
    <w:rsid w:val="00D11980"/>
    <w:rsid w:val="00D1239A"/>
    <w:rsid w:val="00D12D3C"/>
    <w:rsid w:val="00D130D7"/>
    <w:rsid w:val="00D130DC"/>
    <w:rsid w:val="00D13587"/>
    <w:rsid w:val="00D13B87"/>
    <w:rsid w:val="00D13E0D"/>
    <w:rsid w:val="00D14D56"/>
    <w:rsid w:val="00D15011"/>
    <w:rsid w:val="00D1547F"/>
    <w:rsid w:val="00D15BDB"/>
    <w:rsid w:val="00D163C6"/>
    <w:rsid w:val="00D165BC"/>
    <w:rsid w:val="00D170BC"/>
    <w:rsid w:val="00D174F6"/>
    <w:rsid w:val="00D17AF4"/>
    <w:rsid w:val="00D17BB6"/>
    <w:rsid w:val="00D17CFE"/>
    <w:rsid w:val="00D20281"/>
    <w:rsid w:val="00D20ED2"/>
    <w:rsid w:val="00D20F58"/>
    <w:rsid w:val="00D20FB5"/>
    <w:rsid w:val="00D2229B"/>
    <w:rsid w:val="00D222F1"/>
    <w:rsid w:val="00D226AD"/>
    <w:rsid w:val="00D22C2F"/>
    <w:rsid w:val="00D230E0"/>
    <w:rsid w:val="00D23283"/>
    <w:rsid w:val="00D241FC"/>
    <w:rsid w:val="00D24EB0"/>
    <w:rsid w:val="00D250C4"/>
    <w:rsid w:val="00D25328"/>
    <w:rsid w:val="00D25B0E"/>
    <w:rsid w:val="00D25B3C"/>
    <w:rsid w:val="00D26081"/>
    <w:rsid w:val="00D26C05"/>
    <w:rsid w:val="00D26CA3"/>
    <w:rsid w:val="00D27579"/>
    <w:rsid w:val="00D2766A"/>
    <w:rsid w:val="00D27EE0"/>
    <w:rsid w:val="00D31DAB"/>
    <w:rsid w:val="00D32174"/>
    <w:rsid w:val="00D3299B"/>
    <w:rsid w:val="00D33124"/>
    <w:rsid w:val="00D33545"/>
    <w:rsid w:val="00D341B0"/>
    <w:rsid w:val="00D343F2"/>
    <w:rsid w:val="00D3458E"/>
    <w:rsid w:val="00D34E45"/>
    <w:rsid w:val="00D35C26"/>
    <w:rsid w:val="00D35E1B"/>
    <w:rsid w:val="00D362A6"/>
    <w:rsid w:val="00D372DE"/>
    <w:rsid w:val="00D37D9D"/>
    <w:rsid w:val="00D40152"/>
    <w:rsid w:val="00D40512"/>
    <w:rsid w:val="00D40E26"/>
    <w:rsid w:val="00D414E6"/>
    <w:rsid w:val="00D421A1"/>
    <w:rsid w:val="00D4227E"/>
    <w:rsid w:val="00D42A4D"/>
    <w:rsid w:val="00D42B61"/>
    <w:rsid w:val="00D4432F"/>
    <w:rsid w:val="00D448E0"/>
    <w:rsid w:val="00D46419"/>
    <w:rsid w:val="00D46816"/>
    <w:rsid w:val="00D46F01"/>
    <w:rsid w:val="00D4725F"/>
    <w:rsid w:val="00D4731E"/>
    <w:rsid w:val="00D476DF"/>
    <w:rsid w:val="00D5025D"/>
    <w:rsid w:val="00D502BF"/>
    <w:rsid w:val="00D50981"/>
    <w:rsid w:val="00D509C3"/>
    <w:rsid w:val="00D50CC5"/>
    <w:rsid w:val="00D5157C"/>
    <w:rsid w:val="00D516BD"/>
    <w:rsid w:val="00D5173B"/>
    <w:rsid w:val="00D5189C"/>
    <w:rsid w:val="00D51E1F"/>
    <w:rsid w:val="00D52055"/>
    <w:rsid w:val="00D5234D"/>
    <w:rsid w:val="00D5297F"/>
    <w:rsid w:val="00D5328D"/>
    <w:rsid w:val="00D541C9"/>
    <w:rsid w:val="00D545A8"/>
    <w:rsid w:val="00D546F9"/>
    <w:rsid w:val="00D55BC9"/>
    <w:rsid w:val="00D55D8D"/>
    <w:rsid w:val="00D5609D"/>
    <w:rsid w:val="00D56144"/>
    <w:rsid w:val="00D5682A"/>
    <w:rsid w:val="00D56A5C"/>
    <w:rsid w:val="00D570CE"/>
    <w:rsid w:val="00D5733F"/>
    <w:rsid w:val="00D575DD"/>
    <w:rsid w:val="00D57AC9"/>
    <w:rsid w:val="00D57AF2"/>
    <w:rsid w:val="00D57CC7"/>
    <w:rsid w:val="00D57CE7"/>
    <w:rsid w:val="00D60489"/>
    <w:rsid w:val="00D607DA"/>
    <w:rsid w:val="00D60D30"/>
    <w:rsid w:val="00D61768"/>
    <w:rsid w:val="00D61E1B"/>
    <w:rsid w:val="00D61F05"/>
    <w:rsid w:val="00D6209A"/>
    <w:rsid w:val="00D62638"/>
    <w:rsid w:val="00D62AC3"/>
    <w:rsid w:val="00D62CC6"/>
    <w:rsid w:val="00D63A87"/>
    <w:rsid w:val="00D63E51"/>
    <w:rsid w:val="00D64304"/>
    <w:rsid w:val="00D64936"/>
    <w:rsid w:val="00D64CA1"/>
    <w:rsid w:val="00D6532C"/>
    <w:rsid w:val="00D669D4"/>
    <w:rsid w:val="00D66CA0"/>
    <w:rsid w:val="00D66D2F"/>
    <w:rsid w:val="00D70DB4"/>
    <w:rsid w:val="00D70F9F"/>
    <w:rsid w:val="00D713F1"/>
    <w:rsid w:val="00D71869"/>
    <w:rsid w:val="00D71CA3"/>
    <w:rsid w:val="00D71F83"/>
    <w:rsid w:val="00D725BC"/>
    <w:rsid w:val="00D72A21"/>
    <w:rsid w:val="00D72C49"/>
    <w:rsid w:val="00D733F3"/>
    <w:rsid w:val="00D7387A"/>
    <w:rsid w:val="00D73CA5"/>
    <w:rsid w:val="00D73CF3"/>
    <w:rsid w:val="00D73D12"/>
    <w:rsid w:val="00D751CB"/>
    <w:rsid w:val="00D756D0"/>
    <w:rsid w:val="00D756F8"/>
    <w:rsid w:val="00D76F56"/>
    <w:rsid w:val="00D7721D"/>
    <w:rsid w:val="00D77383"/>
    <w:rsid w:val="00D776A9"/>
    <w:rsid w:val="00D77EBD"/>
    <w:rsid w:val="00D8071A"/>
    <w:rsid w:val="00D80AFD"/>
    <w:rsid w:val="00D814FB"/>
    <w:rsid w:val="00D81790"/>
    <w:rsid w:val="00D827FE"/>
    <w:rsid w:val="00D8280A"/>
    <w:rsid w:val="00D82C1E"/>
    <w:rsid w:val="00D82E86"/>
    <w:rsid w:val="00D8308D"/>
    <w:rsid w:val="00D833D3"/>
    <w:rsid w:val="00D839C0"/>
    <w:rsid w:val="00D83B6E"/>
    <w:rsid w:val="00D84175"/>
    <w:rsid w:val="00D84505"/>
    <w:rsid w:val="00D84697"/>
    <w:rsid w:val="00D84F38"/>
    <w:rsid w:val="00D85215"/>
    <w:rsid w:val="00D8522F"/>
    <w:rsid w:val="00D855D6"/>
    <w:rsid w:val="00D85863"/>
    <w:rsid w:val="00D85D19"/>
    <w:rsid w:val="00D86522"/>
    <w:rsid w:val="00D86EF6"/>
    <w:rsid w:val="00D87641"/>
    <w:rsid w:val="00D90025"/>
    <w:rsid w:val="00D91229"/>
    <w:rsid w:val="00D91692"/>
    <w:rsid w:val="00D927B9"/>
    <w:rsid w:val="00D928B2"/>
    <w:rsid w:val="00D932E7"/>
    <w:rsid w:val="00D93479"/>
    <w:rsid w:val="00D93778"/>
    <w:rsid w:val="00D93C92"/>
    <w:rsid w:val="00D942E1"/>
    <w:rsid w:val="00D9453C"/>
    <w:rsid w:val="00D94C99"/>
    <w:rsid w:val="00D94F10"/>
    <w:rsid w:val="00D95690"/>
    <w:rsid w:val="00D956F1"/>
    <w:rsid w:val="00D95747"/>
    <w:rsid w:val="00D9664B"/>
    <w:rsid w:val="00D96D2E"/>
    <w:rsid w:val="00D96F5C"/>
    <w:rsid w:val="00D9774F"/>
    <w:rsid w:val="00DA03B4"/>
    <w:rsid w:val="00DA0521"/>
    <w:rsid w:val="00DA0B11"/>
    <w:rsid w:val="00DA178C"/>
    <w:rsid w:val="00DA1B05"/>
    <w:rsid w:val="00DA1E7E"/>
    <w:rsid w:val="00DA20DC"/>
    <w:rsid w:val="00DA222A"/>
    <w:rsid w:val="00DA23A1"/>
    <w:rsid w:val="00DA29DD"/>
    <w:rsid w:val="00DA2CBB"/>
    <w:rsid w:val="00DA2DA4"/>
    <w:rsid w:val="00DA3A01"/>
    <w:rsid w:val="00DA3A9D"/>
    <w:rsid w:val="00DA3E4E"/>
    <w:rsid w:val="00DA4C43"/>
    <w:rsid w:val="00DA7DF3"/>
    <w:rsid w:val="00DB1E93"/>
    <w:rsid w:val="00DB1F93"/>
    <w:rsid w:val="00DB2178"/>
    <w:rsid w:val="00DB27AA"/>
    <w:rsid w:val="00DB2C7C"/>
    <w:rsid w:val="00DB2FA8"/>
    <w:rsid w:val="00DB382F"/>
    <w:rsid w:val="00DB4250"/>
    <w:rsid w:val="00DB51D2"/>
    <w:rsid w:val="00DB52F3"/>
    <w:rsid w:val="00DB57AF"/>
    <w:rsid w:val="00DB5C8F"/>
    <w:rsid w:val="00DB5F47"/>
    <w:rsid w:val="00DB6619"/>
    <w:rsid w:val="00DB6F7B"/>
    <w:rsid w:val="00DB735A"/>
    <w:rsid w:val="00DB76F5"/>
    <w:rsid w:val="00DC028A"/>
    <w:rsid w:val="00DC0D23"/>
    <w:rsid w:val="00DC0D90"/>
    <w:rsid w:val="00DC0F46"/>
    <w:rsid w:val="00DC105A"/>
    <w:rsid w:val="00DC1556"/>
    <w:rsid w:val="00DC186C"/>
    <w:rsid w:val="00DC2C7F"/>
    <w:rsid w:val="00DC339D"/>
    <w:rsid w:val="00DC3729"/>
    <w:rsid w:val="00DC38E0"/>
    <w:rsid w:val="00DC3E65"/>
    <w:rsid w:val="00DC400B"/>
    <w:rsid w:val="00DC5167"/>
    <w:rsid w:val="00DC5E89"/>
    <w:rsid w:val="00DC65D0"/>
    <w:rsid w:val="00DC6D8F"/>
    <w:rsid w:val="00DC7CD8"/>
    <w:rsid w:val="00DD0055"/>
    <w:rsid w:val="00DD0162"/>
    <w:rsid w:val="00DD08D0"/>
    <w:rsid w:val="00DD0C38"/>
    <w:rsid w:val="00DD0CEB"/>
    <w:rsid w:val="00DD0F4C"/>
    <w:rsid w:val="00DD2137"/>
    <w:rsid w:val="00DD3233"/>
    <w:rsid w:val="00DD3BC6"/>
    <w:rsid w:val="00DD3F75"/>
    <w:rsid w:val="00DD3FA9"/>
    <w:rsid w:val="00DD4380"/>
    <w:rsid w:val="00DD4574"/>
    <w:rsid w:val="00DD4658"/>
    <w:rsid w:val="00DD5E92"/>
    <w:rsid w:val="00DD649B"/>
    <w:rsid w:val="00DD676D"/>
    <w:rsid w:val="00DD6AFC"/>
    <w:rsid w:val="00DD6B22"/>
    <w:rsid w:val="00DD70F3"/>
    <w:rsid w:val="00DD796B"/>
    <w:rsid w:val="00DD7ADF"/>
    <w:rsid w:val="00DD7EFC"/>
    <w:rsid w:val="00DE079C"/>
    <w:rsid w:val="00DE0A6C"/>
    <w:rsid w:val="00DE11E7"/>
    <w:rsid w:val="00DE158E"/>
    <w:rsid w:val="00DE1983"/>
    <w:rsid w:val="00DE2A17"/>
    <w:rsid w:val="00DE2B6E"/>
    <w:rsid w:val="00DE3BAF"/>
    <w:rsid w:val="00DE55E3"/>
    <w:rsid w:val="00DE5A8C"/>
    <w:rsid w:val="00DE5D45"/>
    <w:rsid w:val="00DE6340"/>
    <w:rsid w:val="00DE63FE"/>
    <w:rsid w:val="00DE6586"/>
    <w:rsid w:val="00DE69EF"/>
    <w:rsid w:val="00DE7BFE"/>
    <w:rsid w:val="00DE7EDE"/>
    <w:rsid w:val="00DF0051"/>
    <w:rsid w:val="00DF00DE"/>
    <w:rsid w:val="00DF0EA5"/>
    <w:rsid w:val="00DF20C1"/>
    <w:rsid w:val="00DF225A"/>
    <w:rsid w:val="00DF37C0"/>
    <w:rsid w:val="00DF47CF"/>
    <w:rsid w:val="00DF4845"/>
    <w:rsid w:val="00DF4A62"/>
    <w:rsid w:val="00DF4C72"/>
    <w:rsid w:val="00DF50A1"/>
    <w:rsid w:val="00DF51AE"/>
    <w:rsid w:val="00DF5A3D"/>
    <w:rsid w:val="00DF5D23"/>
    <w:rsid w:val="00DF66E1"/>
    <w:rsid w:val="00DF6750"/>
    <w:rsid w:val="00DF6B2E"/>
    <w:rsid w:val="00DF7193"/>
    <w:rsid w:val="00DF75E8"/>
    <w:rsid w:val="00DF7994"/>
    <w:rsid w:val="00E00D75"/>
    <w:rsid w:val="00E013F4"/>
    <w:rsid w:val="00E01938"/>
    <w:rsid w:val="00E01958"/>
    <w:rsid w:val="00E01AFA"/>
    <w:rsid w:val="00E01F91"/>
    <w:rsid w:val="00E025A7"/>
    <w:rsid w:val="00E02764"/>
    <w:rsid w:val="00E029DF"/>
    <w:rsid w:val="00E02D6F"/>
    <w:rsid w:val="00E02ECB"/>
    <w:rsid w:val="00E03390"/>
    <w:rsid w:val="00E0356F"/>
    <w:rsid w:val="00E037E4"/>
    <w:rsid w:val="00E03F70"/>
    <w:rsid w:val="00E04007"/>
    <w:rsid w:val="00E04021"/>
    <w:rsid w:val="00E04290"/>
    <w:rsid w:val="00E05E49"/>
    <w:rsid w:val="00E06186"/>
    <w:rsid w:val="00E062CF"/>
    <w:rsid w:val="00E068A1"/>
    <w:rsid w:val="00E07251"/>
    <w:rsid w:val="00E07D34"/>
    <w:rsid w:val="00E07E4B"/>
    <w:rsid w:val="00E11C05"/>
    <w:rsid w:val="00E11CD2"/>
    <w:rsid w:val="00E12047"/>
    <w:rsid w:val="00E121B7"/>
    <w:rsid w:val="00E124FB"/>
    <w:rsid w:val="00E12B1A"/>
    <w:rsid w:val="00E12E0C"/>
    <w:rsid w:val="00E12E33"/>
    <w:rsid w:val="00E130AC"/>
    <w:rsid w:val="00E14098"/>
    <w:rsid w:val="00E1428B"/>
    <w:rsid w:val="00E14A8D"/>
    <w:rsid w:val="00E14BD1"/>
    <w:rsid w:val="00E15006"/>
    <w:rsid w:val="00E15037"/>
    <w:rsid w:val="00E1518E"/>
    <w:rsid w:val="00E156EE"/>
    <w:rsid w:val="00E15D57"/>
    <w:rsid w:val="00E16651"/>
    <w:rsid w:val="00E1681C"/>
    <w:rsid w:val="00E1688C"/>
    <w:rsid w:val="00E178AD"/>
    <w:rsid w:val="00E17963"/>
    <w:rsid w:val="00E17DD8"/>
    <w:rsid w:val="00E21586"/>
    <w:rsid w:val="00E21D8C"/>
    <w:rsid w:val="00E22ADA"/>
    <w:rsid w:val="00E22B77"/>
    <w:rsid w:val="00E22CAF"/>
    <w:rsid w:val="00E2302A"/>
    <w:rsid w:val="00E23CE0"/>
    <w:rsid w:val="00E23F22"/>
    <w:rsid w:val="00E240EA"/>
    <w:rsid w:val="00E241BD"/>
    <w:rsid w:val="00E24470"/>
    <w:rsid w:val="00E24784"/>
    <w:rsid w:val="00E253CB"/>
    <w:rsid w:val="00E25548"/>
    <w:rsid w:val="00E25765"/>
    <w:rsid w:val="00E25B5E"/>
    <w:rsid w:val="00E25CA2"/>
    <w:rsid w:val="00E25DF0"/>
    <w:rsid w:val="00E27092"/>
    <w:rsid w:val="00E2763F"/>
    <w:rsid w:val="00E27918"/>
    <w:rsid w:val="00E27B66"/>
    <w:rsid w:val="00E27BD6"/>
    <w:rsid w:val="00E3145E"/>
    <w:rsid w:val="00E31551"/>
    <w:rsid w:val="00E31B73"/>
    <w:rsid w:val="00E324E0"/>
    <w:rsid w:val="00E325D0"/>
    <w:rsid w:val="00E32631"/>
    <w:rsid w:val="00E33022"/>
    <w:rsid w:val="00E33AD9"/>
    <w:rsid w:val="00E33FE7"/>
    <w:rsid w:val="00E34496"/>
    <w:rsid w:val="00E34D57"/>
    <w:rsid w:val="00E34E93"/>
    <w:rsid w:val="00E35325"/>
    <w:rsid w:val="00E35F42"/>
    <w:rsid w:val="00E36071"/>
    <w:rsid w:val="00E3665A"/>
    <w:rsid w:val="00E36B59"/>
    <w:rsid w:val="00E372C7"/>
    <w:rsid w:val="00E37B7C"/>
    <w:rsid w:val="00E37EAF"/>
    <w:rsid w:val="00E4013F"/>
    <w:rsid w:val="00E407FB"/>
    <w:rsid w:val="00E408B2"/>
    <w:rsid w:val="00E408E0"/>
    <w:rsid w:val="00E40B93"/>
    <w:rsid w:val="00E40F88"/>
    <w:rsid w:val="00E41652"/>
    <w:rsid w:val="00E41744"/>
    <w:rsid w:val="00E4199F"/>
    <w:rsid w:val="00E42297"/>
    <w:rsid w:val="00E4256B"/>
    <w:rsid w:val="00E4258F"/>
    <w:rsid w:val="00E42790"/>
    <w:rsid w:val="00E4283A"/>
    <w:rsid w:val="00E42AC8"/>
    <w:rsid w:val="00E431DC"/>
    <w:rsid w:val="00E4440E"/>
    <w:rsid w:val="00E44924"/>
    <w:rsid w:val="00E44C87"/>
    <w:rsid w:val="00E44E6C"/>
    <w:rsid w:val="00E450F0"/>
    <w:rsid w:val="00E45A75"/>
    <w:rsid w:val="00E47019"/>
    <w:rsid w:val="00E47023"/>
    <w:rsid w:val="00E474F0"/>
    <w:rsid w:val="00E47C9B"/>
    <w:rsid w:val="00E50388"/>
    <w:rsid w:val="00E50E3B"/>
    <w:rsid w:val="00E50E44"/>
    <w:rsid w:val="00E51105"/>
    <w:rsid w:val="00E51DAB"/>
    <w:rsid w:val="00E52034"/>
    <w:rsid w:val="00E5238C"/>
    <w:rsid w:val="00E525C0"/>
    <w:rsid w:val="00E527E2"/>
    <w:rsid w:val="00E539F2"/>
    <w:rsid w:val="00E53B4D"/>
    <w:rsid w:val="00E54AC0"/>
    <w:rsid w:val="00E54AED"/>
    <w:rsid w:val="00E55011"/>
    <w:rsid w:val="00E553CE"/>
    <w:rsid w:val="00E553EE"/>
    <w:rsid w:val="00E55679"/>
    <w:rsid w:val="00E56208"/>
    <w:rsid w:val="00E5637F"/>
    <w:rsid w:val="00E56807"/>
    <w:rsid w:val="00E56936"/>
    <w:rsid w:val="00E57BCD"/>
    <w:rsid w:val="00E604BB"/>
    <w:rsid w:val="00E60668"/>
    <w:rsid w:val="00E60D1D"/>
    <w:rsid w:val="00E6236C"/>
    <w:rsid w:val="00E62D79"/>
    <w:rsid w:val="00E632C5"/>
    <w:rsid w:val="00E63435"/>
    <w:rsid w:val="00E6405C"/>
    <w:rsid w:val="00E642D1"/>
    <w:rsid w:val="00E64F0D"/>
    <w:rsid w:val="00E6677A"/>
    <w:rsid w:val="00E668FA"/>
    <w:rsid w:val="00E66C6E"/>
    <w:rsid w:val="00E66D8E"/>
    <w:rsid w:val="00E67EAC"/>
    <w:rsid w:val="00E7012F"/>
    <w:rsid w:val="00E7024A"/>
    <w:rsid w:val="00E707B5"/>
    <w:rsid w:val="00E7131E"/>
    <w:rsid w:val="00E71495"/>
    <w:rsid w:val="00E719B3"/>
    <w:rsid w:val="00E71A2C"/>
    <w:rsid w:val="00E71B40"/>
    <w:rsid w:val="00E71ED9"/>
    <w:rsid w:val="00E7237F"/>
    <w:rsid w:val="00E723A1"/>
    <w:rsid w:val="00E72AA9"/>
    <w:rsid w:val="00E72DD0"/>
    <w:rsid w:val="00E733AD"/>
    <w:rsid w:val="00E7436A"/>
    <w:rsid w:val="00E743BE"/>
    <w:rsid w:val="00E74A78"/>
    <w:rsid w:val="00E75873"/>
    <w:rsid w:val="00E764C2"/>
    <w:rsid w:val="00E76B04"/>
    <w:rsid w:val="00E77159"/>
    <w:rsid w:val="00E77395"/>
    <w:rsid w:val="00E778FE"/>
    <w:rsid w:val="00E77F1D"/>
    <w:rsid w:val="00E80787"/>
    <w:rsid w:val="00E808D3"/>
    <w:rsid w:val="00E80A09"/>
    <w:rsid w:val="00E80D1D"/>
    <w:rsid w:val="00E81144"/>
    <w:rsid w:val="00E814CE"/>
    <w:rsid w:val="00E81CC5"/>
    <w:rsid w:val="00E81D26"/>
    <w:rsid w:val="00E82548"/>
    <w:rsid w:val="00E825D7"/>
    <w:rsid w:val="00E8266F"/>
    <w:rsid w:val="00E828F5"/>
    <w:rsid w:val="00E82CE3"/>
    <w:rsid w:val="00E82DCB"/>
    <w:rsid w:val="00E8307B"/>
    <w:rsid w:val="00E83702"/>
    <w:rsid w:val="00E837A4"/>
    <w:rsid w:val="00E83942"/>
    <w:rsid w:val="00E83CB0"/>
    <w:rsid w:val="00E845ED"/>
    <w:rsid w:val="00E8559E"/>
    <w:rsid w:val="00E85A92"/>
    <w:rsid w:val="00E862D7"/>
    <w:rsid w:val="00E863FA"/>
    <w:rsid w:val="00E8667C"/>
    <w:rsid w:val="00E86704"/>
    <w:rsid w:val="00E871EE"/>
    <w:rsid w:val="00E90216"/>
    <w:rsid w:val="00E914AF"/>
    <w:rsid w:val="00E91B14"/>
    <w:rsid w:val="00E9240A"/>
    <w:rsid w:val="00E92560"/>
    <w:rsid w:val="00E93716"/>
    <w:rsid w:val="00E93B00"/>
    <w:rsid w:val="00E94042"/>
    <w:rsid w:val="00E94F76"/>
    <w:rsid w:val="00E95424"/>
    <w:rsid w:val="00E9551F"/>
    <w:rsid w:val="00E959E1"/>
    <w:rsid w:val="00E95DE6"/>
    <w:rsid w:val="00E96116"/>
    <w:rsid w:val="00E962AE"/>
    <w:rsid w:val="00E96C9B"/>
    <w:rsid w:val="00E9762D"/>
    <w:rsid w:val="00E97886"/>
    <w:rsid w:val="00E97996"/>
    <w:rsid w:val="00EA0D7F"/>
    <w:rsid w:val="00EA105D"/>
    <w:rsid w:val="00EA11CB"/>
    <w:rsid w:val="00EA13E7"/>
    <w:rsid w:val="00EA16A1"/>
    <w:rsid w:val="00EA16C8"/>
    <w:rsid w:val="00EA1B19"/>
    <w:rsid w:val="00EA28CE"/>
    <w:rsid w:val="00EA3406"/>
    <w:rsid w:val="00EA48D6"/>
    <w:rsid w:val="00EA4B9C"/>
    <w:rsid w:val="00EA4EA7"/>
    <w:rsid w:val="00EA518B"/>
    <w:rsid w:val="00EA5D3A"/>
    <w:rsid w:val="00EA5DE0"/>
    <w:rsid w:val="00EA61B0"/>
    <w:rsid w:val="00EA662A"/>
    <w:rsid w:val="00EA66DC"/>
    <w:rsid w:val="00EA6C90"/>
    <w:rsid w:val="00EA6E7C"/>
    <w:rsid w:val="00EA7697"/>
    <w:rsid w:val="00EA7815"/>
    <w:rsid w:val="00EA7A64"/>
    <w:rsid w:val="00EA7B7A"/>
    <w:rsid w:val="00EB1066"/>
    <w:rsid w:val="00EB12B4"/>
    <w:rsid w:val="00EB1DFE"/>
    <w:rsid w:val="00EB2C80"/>
    <w:rsid w:val="00EB3016"/>
    <w:rsid w:val="00EB3F91"/>
    <w:rsid w:val="00EB4112"/>
    <w:rsid w:val="00EB4929"/>
    <w:rsid w:val="00EB4C91"/>
    <w:rsid w:val="00EB5193"/>
    <w:rsid w:val="00EB5419"/>
    <w:rsid w:val="00EB54DC"/>
    <w:rsid w:val="00EB6CD2"/>
    <w:rsid w:val="00EB6D04"/>
    <w:rsid w:val="00EB6D76"/>
    <w:rsid w:val="00EB6FCD"/>
    <w:rsid w:val="00EB7EE8"/>
    <w:rsid w:val="00EC0071"/>
    <w:rsid w:val="00EC03C2"/>
    <w:rsid w:val="00EC0474"/>
    <w:rsid w:val="00EC0595"/>
    <w:rsid w:val="00EC0C98"/>
    <w:rsid w:val="00EC124E"/>
    <w:rsid w:val="00EC18D7"/>
    <w:rsid w:val="00EC227B"/>
    <w:rsid w:val="00EC2424"/>
    <w:rsid w:val="00EC335F"/>
    <w:rsid w:val="00EC43B0"/>
    <w:rsid w:val="00EC55A5"/>
    <w:rsid w:val="00EC560B"/>
    <w:rsid w:val="00EC5762"/>
    <w:rsid w:val="00EC5B90"/>
    <w:rsid w:val="00EC6C48"/>
    <w:rsid w:val="00EC7FC0"/>
    <w:rsid w:val="00ED0385"/>
    <w:rsid w:val="00ED0BE7"/>
    <w:rsid w:val="00ED1996"/>
    <w:rsid w:val="00ED1E8C"/>
    <w:rsid w:val="00ED2127"/>
    <w:rsid w:val="00ED213A"/>
    <w:rsid w:val="00ED2272"/>
    <w:rsid w:val="00ED281A"/>
    <w:rsid w:val="00ED2B76"/>
    <w:rsid w:val="00ED2D8D"/>
    <w:rsid w:val="00ED336A"/>
    <w:rsid w:val="00ED386E"/>
    <w:rsid w:val="00ED3B4D"/>
    <w:rsid w:val="00ED3BC9"/>
    <w:rsid w:val="00ED3DE8"/>
    <w:rsid w:val="00ED4463"/>
    <w:rsid w:val="00ED45D1"/>
    <w:rsid w:val="00ED537B"/>
    <w:rsid w:val="00ED5B70"/>
    <w:rsid w:val="00ED61A4"/>
    <w:rsid w:val="00ED70EB"/>
    <w:rsid w:val="00ED7338"/>
    <w:rsid w:val="00ED79AC"/>
    <w:rsid w:val="00ED7F7F"/>
    <w:rsid w:val="00EE02D5"/>
    <w:rsid w:val="00EE11B4"/>
    <w:rsid w:val="00EE1642"/>
    <w:rsid w:val="00EE1A1F"/>
    <w:rsid w:val="00EE2AB7"/>
    <w:rsid w:val="00EE3CA6"/>
    <w:rsid w:val="00EE495C"/>
    <w:rsid w:val="00EE4C97"/>
    <w:rsid w:val="00EE5C27"/>
    <w:rsid w:val="00EE68ED"/>
    <w:rsid w:val="00EE6F45"/>
    <w:rsid w:val="00EE7705"/>
    <w:rsid w:val="00EE7ECF"/>
    <w:rsid w:val="00EE7F1D"/>
    <w:rsid w:val="00EF0471"/>
    <w:rsid w:val="00EF0483"/>
    <w:rsid w:val="00EF1269"/>
    <w:rsid w:val="00EF1C6F"/>
    <w:rsid w:val="00EF1D87"/>
    <w:rsid w:val="00EF301A"/>
    <w:rsid w:val="00EF323C"/>
    <w:rsid w:val="00EF36C5"/>
    <w:rsid w:val="00EF3C91"/>
    <w:rsid w:val="00EF3EDA"/>
    <w:rsid w:val="00EF3F93"/>
    <w:rsid w:val="00EF433E"/>
    <w:rsid w:val="00EF4461"/>
    <w:rsid w:val="00EF4C60"/>
    <w:rsid w:val="00EF4E72"/>
    <w:rsid w:val="00EF51B0"/>
    <w:rsid w:val="00EF532B"/>
    <w:rsid w:val="00EF5579"/>
    <w:rsid w:val="00EF5C6F"/>
    <w:rsid w:val="00EF6888"/>
    <w:rsid w:val="00EF70F0"/>
    <w:rsid w:val="00EF7AFA"/>
    <w:rsid w:val="00F00FF6"/>
    <w:rsid w:val="00F013BA"/>
    <w:rsid w:val="00F020D9"/>
    <w:rsid w:val="00F0279E"/>
    <w:rsid w:val="00F029A0"/>
    <w:rsid w:val="00F03034"/>
    <w:rsid w:val="00F03320"/>
    <w:rsid w:val="00F036B2"/>
    <w:rsid w:val="00F0386A"/>
    <w:rsid w:val="00F03895"/>
    <w:rsid w:val="00F03DE8"/>
    <w:rsid w:val="00F040EF"/>
    <w:rsid w:val="00F0414C"/>
    <w:rsid w:val="00F04348"/>
    <w:rsid w:val="00F0496F"/>
    <w:rsid w:val="00F04FD5"/>
    <w:rsid w:val="00F0552E"/>
    <w:rsid w:val="00F059D5"/>
    <w:rsid w:val="00F05FF4"/>
    <w:rsid w:val="00F06239"/>
    <w:rsid w:val="00F06384"/>
    <w:rsid w:val="00F06AB1"/>
    <w:rsid w:val="00F06E59"/>
    <w:rsid w:val="00F07149"/>
    <w:rsid w:val="00F07747"/>
    <w:rsid w:val="00F077D5"/>
    <w:rsid w:val="00F07BAF"/>
    <w:rsid w:val="00F10002"/>
    <w:rsid w:val="00F100BA"/>
    <w:rsid w:val="00F102AE"/>
    <w:rsid w:val="00F10835"/>
    <w:rsid w:val="00F1194B"/>
    <w:rsid w:val="00F11CBE"/>
    <w:rsid w:val="00F12292"/>
    <w:rsid w:val="00F13081"/>
    <w:rsid w:val="00F13C1A"/>
    <w:rsid w:val="00F14874"/>
    <w:rsid w:val="00F14EE0"/>
    <w:rsid w:val="00F1517E"/>
    <w:rsid w:val="00F154DB"/>
    <w:rsid w:val="00F15861"/>
    <w:rsid w:val="00F165D3"/>
    <w:rsid w:val="00F16EF8"/>
    <w:rsid w:val="00F174F9"/>
    <w:rsid w:val="00F202FA"/>
    <w:rsid w:val="00F20521"/>
    <w:rsid w:val="00F20C2F"/>
    <w:rsid w:val="00F20E78"/>
    <w:rsid w:val="00F216A5"/>
    <w:rsid w:val="00F216FE"/>
    <w:rsid w:val="00F21C55"/>
    <w:rsid w:val="00F225F6"/>
    <w:rsid w:val="00F22E81"/>
    <w:rsid w:val="00F23444"/>
    <w:rsid w:val="00F24BDB"/>
    <w:rsid w:val="00F25807"/>
    <w:rsid w:val="00F25996"/>
    <w:rsid w:val="00F26033"/>
    <w:rsid w:val="00F268B1"/>
    <w:rsid w:val="00F2777F"/>
    <w:rsid w:val="00F27FBF"/>
    <w:rsid w:val="00F30466"/>
    <w:rsid w:val="00F3075C"/>
    <w:rsid w:val="00F32233"/>
    <w:rsid w:val="00F3283C"/>
    <w:rsid w:val="00F329CB"/>
    <w:rsid w:val="00F32A53"/>
    <w:rsid w:val="00F32D62"/>
    <w:rsid w:val="00F33006"/>
    <w:rsid w:val="00F333DA"/>
    <w:rsid w:val="00F337D6"/>
    <w:rsid w:val="00F34C7C"/>
    <w:rsid w:val="00F354AD"/>
    <w:rsid w:val="00F357C4"/>
    <w:rsid w:val="00F366B6"/>
    <w:rsid w:val="00F369E4"/>
    <w:rsid w:val="00F37AEA"/>
    <w:rsid w:val="00F40681"/>
    <w:rsid w:val="00F40793"/>
    <w:rsid w:val="00F40C04"/>
    <w:rsid w:val="00F40EF7"/>
    <w:rsid w:val="00F410A6"/>
    <w:rsid w:val="00F4129E"/>
    <w:rsid w:val="00F41C25"/>
    <w:rsid w:val="00F41EA1"/>
    <w:rsid w:val="00F41FA9"/>
    <w:rsid w:val="00F4240F"/>
    <w:rsid w:val="00F428D1"/>
    <w:rsid w:val="00F4290B"/>
    <w:rsid w:val="00F42ACB"/>
    <w:rsid w:val="00F42BC4"/>
    <w:rsid w:val="00F42D93"/>
    <w:rsid w:val="00F4380F"/>
    <w:rsid w:val="00F44D5D"/>
    <w:rsid w:val="00F45066"/>
    <w:rsid w:val="00F452B4"/>
    <w:rsid w:val="00F455A5"/>
    <w:rsid w:val="00F46402"/>
    <w:rsid w:val="00F4688C"/>
    <w:rsid w:val="00F46991"/>
    <w:rsid w:val="00F46DFF"/>
    <w:rsid w:val="00F47193"/>
    <w:rsid w:val="00F47C89"/>
    <w:rsid w:val="00F47D49"/>
    <w:rsid w:val="00F51294"/>
    <w:rsid w:val="00F51D29"/>
    <w:rsid w:val="00F53096"/>
    <w:rsid w:val="00F53FF7"/>
    <w:rsid w:val="00F54392"/>
    <w:rsid w:val="00F54A31"/>
    <w:rsid w:val="00F551F1"/>
    <w:rsid w:val="00F55CCB"/>
    <w:rsid w:val="00F55FA7"/>
    <w:rsid w:val="00F5616F"/>
    <w:rsid w:val="00F601AA"/>
    <w:rsid w:val="00F61392"/>
    <w:rsid w:val="00F61A48"/>
    <w:rsid w:val="00F61C60"/>
    <w:rsid w:val="00F622B0"/>
    <w:rsid w:val="00F62E6A"/>
    <w:rsid w:val="00F63E17"/>
    <w:rsid w:val="00F63E58"/>
    <w:rsid w:val="00F6406C"/>
    <w:rsid w:val="00F648D2"/>
    <w:rsid w:val="00F649C4"/>
    <w:rsid w:val="00F651E2"/>
    <w:rsid w:val="00F6534C"/>
    <w:rsid w:val="00F656AF"/>
    <w:rsid w:val="00F65927"/>
    <w:rsid w:val="00F65F3E"/>
    <w:rsid w:val="00F6675D"/>
    <w:rsid w:val="00F66AC6"/>
    <w:rsid w:val="00F66ED5"/>
    <w:rsid w:val="00F6778D"/>
    <w:rsid w:val="00F677C7"/>
    <w:rsid w:val="00F679B3"/>
    <w:rsid w:val="00F679DA"/>
    <w:rsid w:val="00F70BE8"/>
    <w:rsid w:val="00F70F54"/>
    <w:rsid w:val="00F70FA4"/>
    <w:rsid w:val="00F71076"/>
    <w:rsid w:val="00F7154C"/>
    <w:rsid w:val="00F71F89"/>
    <w:rsid w:val="00F7272B"/>
    <w:rsid w:val="00F729DF"/>
    <w:rsid w:val="00F72B38"/>
    <w:rsid w:val="00F72B39"/>
    <w:rsid w:val="00F72DB8"/>
    <w:rsid w:val="00F730D0"/>
    <w:rsid w:val="00F731D1"/>
    <w:rsid w:val="00F73271"/>
    <w:rsid w:val="00F7338C"/>
    <w:rsid w:val="00F749B5"/>
    <w:rsid w:val="00F757F2"/>
    <w:rsid w:val="00F75D30"/>
    <w:rsid w:val="00F76290"/>
    <w:rsid w:val="00F763E2"/>
    <w:rsid w:val="00F77617"/>
    <w:rsid w:val="00F77825"/>
    <w:rsid w:val="00F807ED"/>
    <w:rsid w:val="00F80EB0"/>
    <w:rsid w:val="00F81307"/>
    <w:rsid w:val="00F82490"/>
    <w:rsid w:val="00F82A91"/>
    <w:rsid w:val="00F83EFB"/>
    <w:rsid w:val="00F84161"/>
    <w:rsid w:val="00F8457E"/>
    <w:rsid w:val="00F849A3"/>
    <w:rsid w:val="00F84FF4"/>
    <w:rsid w:val="00F853A7"/>
    <w:rsid w:val="00F85412"/>
    <w:rsid w:val="00F862F1"/>
    <w:rsid w:val="00F86834"/>
    <w:rsid w:val="00F86CD8"/>
    <w:rsid w:val="00F86F2C"/>
    <w:rsid w:val="00F8755B"/>
    <w:rsid w:val="00F8785A"/>
    <w:rsid w:val="00F90064"/>
    <w:rsid w:val="00F902E2"/>
    <w:rsid w:val="00F90EF3"/>
    <w:rsid w:val="00F929E1"/>
    <w:rsid w:val="00F9312E"/>
    <w:rsid w:val="00F93329"/>
    <w:rsid w:val="00F947C0"/>
    <w:rsid w:val="00F94863"/>
    <w:rsid w:val="00F94BB3"/>
    <w:rsid w:val="00F9574B"/>
    <w:rsid w:val="00F95E68"/>
    <w:rsid w:val="00F96212"/>
    <w:rsid w:val="00F9651B"/>
    <w:rsid w:val="00F96DAC"/>
    <w:rsid w:val="00F96E6D"/>
    <w:rsid w:val="00F97F10"/>
    <w:rsid w:val="00FA04BD"/>
    <w:rsid w:val="00FA1988"/>
    <w:rsid w:val="00FA1AA0"/>
    <w:rsid w:val="00FA1FD7"/>
    <w:rsid w:val="00FA34E2"/>
    <w:rsid w:val="00FA3E1A"/>
    <w:rsid w:val="00FA410F"/>
    <w:rsid w:val="00FA42BC"/>
    <w:rsid w:val="00FA4673"/>
    <w:rsid w:val="00FA4F63"/>
    <w:rsid w:val="00FA50D7"/>
    <w:rsid w:val="00FA537C"/>
    <w:rsid w:val="00FA53E5"/>
    <w:rsid w:val="00FA5B64"/>
    <w:rsid w:val="00FA6710"/>
    <w:rsid w:val="00FA6C82"/>
    <w:rsid w:val="00FA738D"/>
    <w:rsid w:val="00FA7E60"/>
    <w:rsid w:val="00FA7EA7"/>
    <w:rsid w:val="00FB00D7"/>
    <w:rsid w:val="00FB0360"/>
    <w:rsid w:val="00FB0655"/>
    <w:rsid w:val="00FB070A"/>
    <w:rsid w:val="00FB080B"/>
    <w:rsid w:val="00FB08DA"/>
    <w:rsid w:val="00FB11D1"/>
    <w:rsid w:val="00FB1212"/>
    <w:rsid w:val="00FB15C2"/>
    <w:rsid w:val="00FB1AD1"/>
    <w:rsid w:val="00FB28AD"/>
    <w:rsid w:val="00FB2A66"/>
    <w:rsid w:val="00FB2EF1"/>
    <w:rsid w:val="00FB3056"/>
    <w:rsid w:val="00FB3853"/>
    <w:rsid w:val="00FB3EA7"/>
    <w:rsid w:val="00FB45DD"/>
    <w:rsid w:val="00FB48AB"/>
    <w:rsid w:val="00FB4A17"/>
    <w:rsid w:val="00FB500A"/>
    <w:rsid w:val="00FB5585"/>
    <w:rsid w:val="00FB5614"/>
    <w:rsid w:val="00FB6C25"/>
    <w:rsid w:val="00FC0C6B"/>
    <w:rsid w:val="00FC1280"/>
    <w:rsid w:val="00FC1538"/>
    <w:rsid w:val="00FC1547"/>
    <w:rsid w:val="00FC17D8"/>
    <w:rsid w:val="00FC34A0"/>
    <w:rsid w:val="00FC450A"/>
    <w:rsid w:val="00FC473A"/>
    <w:rsid w:val="00FC4E9A"/>
    <w:rsid w:val="00FC6A4B"/>
    <w:rsid w:val="00FC6F71"/>
    <w:rsid w:val="00FC6FAB"/>
    <w:rsid w:val="00FC7189"/>
    <w:rsid w:val="00FC7278"/>
    <w:rsid w:val="00FC77DB"/>
    <w:rsid w:val="00FC7C0F"/>
    <w:rsid w:val="00FC7D21"/>
    <w:rsid w:val="00FD05D6"/>
    <w:rsid w:val="00FD065F"/>
    <w:rsid w:val="00FD112D"/>
    <w:rsid w:val="00FD127D"/>
    <w:rsid w:val="00FD198B"/>
    <w:rsid w:val="00FD1F47"/>
    <w:rsid w:val="00FD202A"/>
    <w:rsid w:val="00FD2973"/>
    <w:rsid w:val="00FD2A32"/>
    <w:rsid w:val="00FD3127"/>
    <w:rsid w:val="00FD36A1"/>
    <w:rsid w:val="00FD372B"/>
    <w:rsid w:val="00FD3D0B"/>
    <w:rsid w:val="00FD44B9"/>
    <w:rsid w:val="00FD4A20"/>
    <w:rsid w:val="00FD4F41"/>
    <w:rsid w:val="00FD5DFE"/>
    <w:rsid w:val="00FD6109"/>
    <w:rsid w:val="00FD701F"/>
    <w:rsid w:val="00FD7364"/>
    <w:rsid w:val="00FD7BD0"/>
    <w:rsid w:val="00FE0049"/>
    <w:rsid w:val="00FE02DE"/>
    <w:rsid w:val="00FE098B"/>
    <w:rsid w:val="00FE1F9B"/>
    <w:rsid w:val="00FE228C"/>
    <w:rsid w:val="00FE2642"/>
    <w:rsid w:val="00FE283E"/>
    <w:rsid w:val="00FE2970"/>
    <w:rsid w:val="00FE3030"/>
    <w:rsid w:val="00FE5279"/>
    <w:rsid w:val="00FE571E"/>
    <w:rsid w:val="00FE5A91"/>
    <w:rsid w:val="00FE5C51"/>
    <w:rsid w:val="00FE647C"/>
    <w:rsid w:val="00FE6C1C"/>
    <w:rsid w:val="00FE7037"/>
    <w:rsid w:val="00FE732F"/>
    <w:rsid w:val="00FF0568"/>
    <w:rsid w:val="00FF0F74"/>
    <w:rsid w:val="00FF10A2"/>
    <w:rsid w:val="00FF10CB"/>
    <w:rsid w:val="00FF140D"/>
    <w:rsid w:val="00FF1CE6"/>
    <w:rsid w:val="00FF2901"/>
    <w:rsid w:val="00FF2A86"/>
    <w:rsid w:val="00FF2B88"/>
    <w:rsid w:val="00FF3C24"/>
    <w:rsid w:val="00FF47AE"/>
    <w:rsid w:val="00FF4CEA"/>
    <w:rsid w:val="00FF519E"/>
    <w:rsid w:val="00FF5BC5"/>
    <w:rsid w:val="00FF5E96"/>
    <w:rsid w:val="00FF6616"/>
    <w:rsid w:val="00FF7467"/>
    <w:rsid w:val="00FF75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969696,#5f5f5f"/>
    </o:shapedefaults>
    <o:shapelayout v:ext="edit">
      <o:idmap v:ext="edit" data="2"/>
    </o:shapelayout>
  </w:shapeDefaults>
  <w:decimalSymbol w:val="."/>
  <w:listSeparator w:val=","/>
  <w14:docId w14:val="6C083070"/>
  <w15:docId w15:val="{894264A9-99DA-438A-9C8A-4E0A4C0C2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US" w:eastAsia="en-US" w:bidi="ar-SA"/>
      </w:rPr>
    </w:rPrDefault>
    <w:pPrDefault>
      <w:pPr>
        <w:spacing w:before="60" w:after="60"/>
      </w:pPr>
    </w:pPrDefault>
  </w:docDefaults>
  <w:latentStyles w:defLockedState="1" w:defUIPriority="99" w:defSemiHidden="0" w:defUnhideWhenUsed="0" w:defQFormat="0" w:count="376">
    <w:lsdException w:name="Normal" w:locked="0"/>
    <w:lsdException w:name="heading 1" w:locked="0"/>
    <w:lsdException w:name="heading 2" w:locked="0"/>
    <w:lsdException w:name="heading 3" w:locked="0"/>
    <w:lsdException w:name="heading 4" w:locked="0"/>
    <w:lsdException w:name="heading 5" w:locked="0"/>
    <w:lsdException w:name="heading 6" w:locked="0"/>
    <w:lsdException w:name="heading 7" w:locked="0"/>
    <w:lsdException w:name="heading 8" w:locked="0"/>
    <w:lsdException w:name="heading 9" w:locked="0"/>
    <w:lsdException w:name="index 1" w:locked="0" w:semiHidden="1" w:uiPriority="1" w:unhideWhenUsed="1"/>
    <w:lsdException w:name="index 2" w:locked="0" w:semiHidden="1" w:uiPriority="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nhideWhenUsed="1"/>
    <w:lsdException w:name="toc 2" w:locked="0" w:semiHidden="1" w:unhideWhenUsed="1"/>
    <w:lsdException w:name="toc 3" w:locked="0" w:semiHidden="1" w:unhideWhenUsed="1"/>
    <w:lsdException w:name="toc 4" w:locked="0" w:semiHidden="1" w:unhideWhenUsed="1"/>
    <w:lsdException w:name="toc 5" w:semiHidden="1" w:unhideWhenUsed="1"/>
    <w:lsdException w:name="toc 6" w:locked="0" w:semiHidden="1" w:unhideWhenUsed="1"/>
    <w:lsdException w:name="toc 7" w:locked="0" w:semiHidden="1" w:unhideWhenUsed="1"/>
    <w:lsdException w:name="toc 8" w:locked="0" w:semiHidden="1" w:unhideWhenUsed="1"/>
    <w:lsdException w:name="toc 9" w:locked="0" w:semiHidden="1" w:unhideWhenUsed="1"/>
    <w:lsdException w:name="Normal Indent" w:semiHidden="1" w:unhideWhenUsed="1"/>
    <w:lsdException w:name="footnote text" w:semiHidden="1" w:unhideWhenUsed="1"/>
    <w:lsdException w:name="annotation text" w:locked="0" w:semiHidden="1" w:unhideWhenUsed="1"/>
    <w:lsdException w:name="header" w:locked="0" w:semiHidden="1" w:uiPriority="1" w:unhideWhenUsed="1"/>
    <w:lsdException w:name="footer" w:locked="0" w:semiHidden="1" w:uiPriority="1" w:unhideWhenUsed="1"/>
    <w:lsdException w:name="index heading" w:locked="0" w:semiHidden="1" w:uiPriority="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lsdException w:name="Closing" w:semiHidden="1" w:unhideWhenUsed="1"/>
    <w:lsdException w:name="Signature" w:semiHidden="1" w:unhideWhenUsed="1"/>
    <w:lsdException w:name="Default Paragraph Font" w:locked="0"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1" w:unhideWhenUsed="1"/>
    <w:lsdException w:name="FollowedHyperlink" w:locked="0" w:semiHidden="1" w:unhideWhenUsed="1"/>
    <w:lsdException w:name="Emphasis" w:semiHidden="1"/>
    <w:lsdException w:name="Document Map" w:locked="0"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qFormat="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uiPriority w:val="99"/>
    <w:semiHidden/>
    <w:rsid w:val="00011686"/>
    <w:rPr>
      <w:color w:val="00B050"/>
      <w:szCs w:val="24"/>
    </w:rPr>
  </w:style>
  <w:style w:type="paragraph" w:styleId="Heading1">
    <w:name w:val="heading 1"/>
    <w:basedOn w:val="Normal"/>
    <w:next w:val="Normal"/>
    <w:link w:val="Heading1Char"/>
    <w:uiPriority w:val="99"/>
    <w:semiHidden/>
    <w:locked/>
    <w:rsid w:val="00011686"/>
    <w:pPr>
      <w:outlineLvl w:val="0"/>
    </w:pPr>
  </w:style>
  <w:style w:type="paragraph" w:styleId="Heading2">
    <w:name w:val="heading 2"/>
    <w:basedOn w:val="Normal"/>
    <w:next w:val="Normal"/>
    <w:link w:val="Heading2Char"/>
    <w:uiPriority w:val="99"/>
    <w:semiHidden/>
    <w:locked/>
    <w:rsid w:val="00011686"/>
    <w:pPr>
      <w:outlineLvl w:val="1"/>
    </w:pPr>
  </w:style>
  <w:style w:type="paragraph" w:styleId="Heading3">
    <w:name w:val="heading 3"/>
    <w:basedOn w:val="Normal"/>
    <w:next w:val="Normal"/>
    <w:link w:val="Heading3Char"/>
    <w:uiPriority w:val="99"/>
    <w:semiHidden/>
    <w:locked/>
    <w:rsid w:val="00011686"/>
    <w:pPr>
      <w:outlineLvl w:val="2"/>
    </w:pPr>
  </w:style>
  <w:style w:type="paragraph" w:styleId="Heading4">
    <w:name w:val="heading 4"/>
    <w:basedOn w:val="Normal"/>
    <w:next w:val="Normal"/>
    <w:link w:val="Heading4Char"/>
    <w:uiPriority w:val="99"/>
    <w:semiHidden/>
    <w:locked/>
    <w:rsid w:val="00011686"/>
    <w:pPr>
      <w:outlineLvl w:val="3"/>
    </w:pPr>
  </w:style>
  <w:style w:type="paragraph" w:styleId="Heading5">
    <w:name w:val="heading 5"/>
    <w:basedOn w:val="Normal"/>
    <w:next w:val="Normal"/>
    <w:link w:val="Heading5Char"/>
    <w:uiPriority w:val="99"/>
    <w:semiHidden/>
    <w:locked/>
    <w:rsid w:val="00011686"/>
    <w:pPr>
      <w:outlineLvl w:val="4"/>
    </w:pPr>
  </w:style>
  <w:style w:type="paragraph" w:styleId="Heading6">
    <w:name w:val="heading 6"/>
    <w:basedOn w:val="Normal"/>
    <w:next w:val="Normal"/>
    <w:link w:val="Heading6Char"/>
    <w:uiPriority w:val="99"/>
    <w:semiHidden/>
    <w:locked/>
    <w:rsid w:val="00011686"/>
    <w:pPr>
      <w:outlineLvl w:val="5"/>
    </w:pPr>
  </w:style>
  <w:style w:type="paragraph" w:styleId="Heading7">
    <w:name w:val="heading 7"/>
    <w:basedOn w:val="Normal"/>
    <w:next w:val="Normal"/>
    <w:link w:val="Heading7Char"/>
    <w:uiPriority w:val="99"/>
    <w:semiHidden/>
    <w:locked/>
    <w:rsid w:val="00011686"/>
    <w:pPr>
      <w:outlineLvl w:val="6"/>
    </w:pPr>
  </w:style>
  <w:style w:type="paragraph" w:styleId="Heading8">
    <w:name w:val="heading 8"/>
    <w:basedOn w:val="Normal"/>
    <w:next w:val="Normal"/>
    <w:link w:val="Heading8Char"/>
    <w:uiPriority w:val="99"/>
    <w:semiHidden/>
    <w:locked/>
    <w:rsid w:val="00011686"/>
    <w:pPr>
      <w:outlineLvl w:val="7"/>
    </w:pPr>
  </w:style>
  <w:style w:type="paragraph" w:styleId="Heading9">
    <w:name w:val="heading 9"/>
    <w:basedOn w:val="Normal"/>
    <w:next w:val="Normal"/>
    <w:link w:val="Heading9Char"/>
    <w:uiPriority w:val="99"/>
    <w:semiHidden/>
    <w:locked/>
    <w:rsid w:val="0001168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semiHidden/>
    <w:locked/>
    <w:rsid w:val="00011686"/>
    <w:rPr>
      <w:color w:val="00B050"/>
      <w:szCs w:val="24"/>
    </w:rPr>
  </w:style>
  <w:style w:type="character" w:customStyle="1" w:styleId="Heading2Char">
    <w:name w:val="Heading 2 Char"/>
    <w:basedOn w:val="DefaultParagraphFont"/>
    <w:link w:val="Heading2"/>
    <w:uiPriority w:val="99"/>
    <w:semiHidden/>
    <w:locked/>
    <w:rsid w:val="00011686"/>
    <w:rPr>
      <w:color w:val="00B050"/>
      <w:szCs w:val="24"/>
    </w:rPr>
  </w:style>
  <w:style w:type="character" w:customStyle="1" w:styleId="Heading3Char">
    <w:name w:val="Heading 3 Char"/>
    <w:basedOn w:val="DefaultParagraphFont"/>
    <w:link w:val="Heading3"/>
    <w:uiPriority w:val="99"/>
    <w:semiHidden/>
    <w:locked/>
    <w:rsid w:val="00011686"/>
    <w:rPr>
      <w:color w:val="00B050"/>
      <w:szCs w:val="24"/>
    </w:rPr>
  </w:style>
  <w:style w:type="character" w:customStyle="1" w:styleId="Heading4Char">
    <w:name w:val="Heading 4 Char"/>
    <w:basedOn w:val="DefaultParagraphFont"/>
    <w:link w:val="Heading4"/>
    <w:uiPriority w:val="99"/>
    <w:semiHidden/>
    <w:locked/>
    <w:rsid w:val="00011686"/>
    <w:rPr>
      <w:color w:val="00B050"/>
      <w:szCs w:val="24"/>
    </w:rPr>
  </w:style>
  <w:style w:type="character" w:customStyle="1" w:styleId="Heading5Char">
    <w:name w:val="Heading 5 Char"/>
    <w:basedOn w:val="DefaultParagraphFont"/>
    <w:link w:val="Heading5"/>
    <w:uiPriority w:val="99"/>
    <w:semiHidden/>
    <w:locked/>
    <w:rsid w:val="00011686"/>
    <w:rPr>
      <w:color w:val="00B050"/>
      <w:szCs w:val="24"/>
    </w:rPr>
  </w:style>
  <w:style w:type="character" w:customStyle="1" w:styleId="Heading6Char">
    <w:name w:val="Heading 6 Char"/>
    <w:basedOn w:val="DefaultParagraphFont"/>
    <w:link w:val="Heading6"/>
    <w:uiPriority w:val="99"/>
    <w:semiHidden/>
    <w:locked/>
    <w:rsid w:val="00011686"/>
    <w:rPr>
      <w:color w:val="00B050"/>
      <w:szCs w:val="24"/>
    </w:rPr>
  </w:style>
  <w:style w:type="character" w:customStyle="1" w:styleId="Heading7Char">
    <w:name w:val="Heading 7 Char"/>
    <w:basedOn w:val="DefaultParagraphFont"/>
    <w:link w:val="Heading7"/>
    <w:uiPriority w:val="99"/>
    <w:semiHidden/>
    <w:locked/>
    <w:rsid w:val="00011686"/>
    <w:rPr>
      <w:color w:val="00B050"/>
      <w:szCs w:val="24"/>
    </w:rPr>
  </w:style>
  <w:style w:type="character" w:customStyle="1" w:styleId="Heading8Char">
    <w:name w:val="Heading 8 Char"/>
    <w:basedOn w:val="DefaultParagraphFont"/>
    <w:link w:val="Heading8"/>
    <w:uiPriority w:val="99"/>
    <w:semiHidden/>
    <w:locked/>
    <w:rsid w:val="00011686"/>
    <w:rPr>
      <w:color w:val="00B050"/>
      <w:szCs w:val="24"/>
    </w:rPr>
  </w:style>
  <w:style w:type="character" w:customStyle="1" w:styleId="Heading9Char">
    <w:name w:val="Heading 9 Char"/>
    <w:basedOn w:val="DefaultParagraphFont"/>
    <w:link w:val="Heading9"/>
    <w:uiPriority w:val="99"/>
    <w:semiHidden/>
    <w:locked/>
    <w:rsid w:val="00011686"/>
    <w:rPr>
      <w:color w:val="00B050"/>
      <w:szCs w:val="24"/>
    </w:rPr>
  </w:style>
  <w:style w:type="paragraph" w:styleId="Footer">
    <w:name w:val="footer"/>
    <w:basedOn w:val="Header"/>
    <w:link w:val="FooterChar"/>
    <w:uiPriority w:val="1"/>
    <w:rsid w:val="00011686"/>
    <w:pPr>
      <w:tabs>
        <w:tab w:val="center" w:pos="4507"/>
      </w:tabs>
    </w:pPr>
  </w:style>
  <w:style w:type="character" w:customStyle="1" w:styleId="FooterChar">
    <w:name w:val="Footer Char"/>
    <w:basedOn w:val="DefaultParagraphFont"/>
    <w:link w:val="Footer"/>
    <w:uiPriority w:val="1"/>
    <w:locked/>
    <w:rsid w:val="00011686"/>
    <w:rPr>
      <w:sz w:val="16"/>
    </w:rPr>
  </w:style>
  <w:style w:type="paragraph" w:customStyle="1" w:styleId="wiBase">
    <w:name w:val="wiBase"/>
    <w:rsid w:val="00011686"/>
  </w:style>
  <w:style w:type="paragraph" w:styleId="Header">
    <w:name w:val="header"/>
    <w:basedOn w:val="wiBase"/>
    <w:link w:val="HeaderChar"/>
    <w:uiPriority w:val="1"/>
    <w:rsid w:val="00011686"/>
    <w:pPr>
      <w:tabs>
        <w:tab w:val="right" w:pos="10080"/>
      </w:tabs>
      <w:ind w:left="-432"/>
    </w:pPr>
    <w:rPr>
      <w:sz w:val="16"/>
    </w:rPr>
  </w:style>
  <w:style w:type="character" w:customStyle="1" w:styleId="HeaderChar">
    <w:name w:val="Header Char"/>
    <w:basedOn w:val="DefaultParagraphFont"/>
    <w:link w:val="Header"/>
    <w:uiPriority w:val="1"/>
    <w:locked/>
    <w:rsid w:val="00011686"/>
    <w:rPr>
      <w:sz w:val="16"/>
    </w:rPr>
  </w:style>
  <w:style w:type="character" w:styleId="PageNumber">
    <w:name w:val="page number"/>
    <w:basedOn w:val="DefaultParagraphFont"/>
    <w:uiPriority w:val="99"/>
    <w:semiHidden/>
    <w:rsid w:val="00011686"/>
  </w:style>
  <w:style w:type="character" w:styleId="CommentReference">
    <w:name w:val="annotation reference"/>
    <w:basedOn w:val="DefaultParagraphFont"/>
    <w:uiPriority w:val="99"/>
    <w:semiHidden/>
    <w:locked/>
    <w:rsid w:val="00011686"/>
    <w:rPr>
      <w:rFonts w:ascii="Arial" w:hAnsi="Arial"/>
      <w:b/>
      <w:i/>
      <w:vanish/>
      <w:color w:val="FF0000"/>
      <w:sz w:val="16"/>
    </w:rPr>
  </w:style>
  <w:style w:type="paragraph" w:styleId="CommentText">
    <w:name w:val="annotation text"/>
    <w:basedOn w:val="Normal"/>
    <w:link w:val="CommentTextChar"/>
    <w:uiPriority w:val="99"/>
    <w:semiHidden/>
    <w:locked/>
    <w:rsid w:val="00011686"/>
  </w:style>
  <w:style w:type="character" w:customStyle="1" w:styleId="CommentTextChar">
    <w:name w:val="Comment Text Char"/>
    <w:basedOn w:val="DefaultParagraphFont"/>
    <w:link w:val="CommentText"/>
    <w:uiPriority w:val="99"/>
    <w:semiHidden/>
    <w:rsid w:val="00011686"/>
    <w:rPr>
      <w:color w:val="00B050"/>
      <w:szCs w:val="24"/>
    </w:rPr>
  </w:style>
  <w:style w:type="character" w:styleId="FollowedHyperlink">
    <w:name w:val="FollowedHyperlink"/>
    <w:basedOn w:val="DefaultParagraphFont"/>
    <w:uiPriority w:val="99"/>
    <w:semiHidden/>
    <w:locked/>
    <w:rsid w:val="00011686"/>
    <w:rPr>
      <w:color w:val="800080"/>
      <w:u w:val="single"/>
    </w:rPr>
  </w:style>
  <w:style w:type="character" w:styleId="Hyperlink">
    <w:name w:val="Hyperlink"/>
    <w:basedOn w:val="DefaultParagraphFont"/>
    <w:uiPriority w:val="1"/>
    <w:rsid w:val="00011686"/>
    <w:rPr>
      <w:color w:val="0000FF"/>
      <w:u w:val="single"/>
    </w:rPr>
  </w:style>
  <w:style w:type="paragraph" w:styleId="TOC1">
    <w:name w:val="toc 1"/>
    <w:basedOn w:val="Normal"/>
    <w:next w:val="Normal"/>
    <w:uiPriority w:val="99"/>
    <w:rsid w:val="00011686"/>
    <w:pPr>
      <w:spacing w:before="240"/>
      <w:jc w:val="center"/>
    </w:pPr>
    <w:rPr>
      <w:b/>
      <w:color w:val="0000FF"/>
      <w:sz w:val="24"/>
      <w:szCs w:val="20"/>
    </w:rPr>
  </w:style>
  <w:style w:type="paragraph" w:styleId="TOC2">
    <w:name w:val="toc 2"/>
    <w:basedOn w:val="Normal"/>
    <w:next w:val="Normal"/>
    <w:uiPriority w:val="99"/>
    <w:rsid w:val="00011686"/>
    <w:pPr>
      <w:pBdr>
        <w:top w:val="single" w:sz="4" w:space="1" w:color="auto"/>
        <w:left w:val="single" w:sz="4" w:space="4" w:color="auto"/>
        <w:bottom w:val="single" w:sz="4" w:space="1" w:color="auto"/>
        <w:right w:val="single" w:sz="4" w:space="4" w:color="auto"/>
      </w:pBdr>
      <w:tabs>
        <w:tab w:val="right" w:leader="dot" w:pos="10080"/>
      </w:tabs>
      <w:spacing w:before="0" w:after="0"/>
      <w:ind w:left="432" w:right="432"/>
    </w:pPr>
    <w:rPr>
      <w:color w:val="333399"/>
      <w:sz w:val="16"/>
      <w:szCs w:val="20"/>
    </w:rPr>
  </w:style>
  <w:style w:type="paragraph" w:customStyle="1" w:styleId="wiAnnotation">
    <w:name w:val="wiAnnotation"/>
    <w:basedOn w:val="wiBase"/>
    <w:next w:val="wiChangeInstruction"/>
    <w:rsid w:val="00011686"/>
    <w:pPr>
      <w:keepNext/>
      <w:pBdr>
        <w:top w:val="single" w:sz="4" w:space="1" w:color="auto"/>
        <w:left w:val="single" w:sz="4" w:space="4" w:color="auto"/>
        <w:bottom w:val="single" w:sz="4" w:space="1" w:color="auto"/>
        <w:right w:val="single" w:sz="4" w:space="4" w:color="auto"/>
      </w:pBdr>
      <w:spacing w:before="0" w:after="0"/>
      <w:ind w:left="-432" w:right="-432"/>
    </w:pPr>
    <w:rPr>
      <w:b/>
      <w:i/>
      <w:color w:val="333399"/>
      <w:sz w:val="18"/>
    </w:rPr>
  </w:style>
  <w:style w:type="paragraph" w:customStyle="1" w:styleId="wiChangeHeading">
    <w:name w:val="wiChangeHeading"/>
    <w:basedOn w:val="wiBase"/>
    <w:next w:val="Normal"/>
    <w:rsid w:val="00011686"/>
    <w:pPr>
      <w:keepNext/>
      <w:pBdr>
        <w:top w:val="single" w:sz="4" w:space="10" w:color="auto"/>
      </w:pBdr>
      <w:spacing w:before="180" w:after="0"/>
      <w:outlineLvl w:val="0"/>
    </w:pPr>
    <w:rPr>
      <w:b/>
    </w:rPr>
  </w:style>
  <w:style w:type="paragraph" w:customStyle="1" w:styleId="wiChangeInstruction">
    <w:name w:val="wiChangeInstruction"/>
    <w:basedOn w:val="wiBase"/>
    <w:next w:val="Normal"/>
    <w:rsid w:val="00011686"/>
    <w:pPr>
      <w:keepNext/>
      <w:shd w:val="clear" w:color="auto" w:fill="FFFF99"/>
      <w:spacing w:before="0"/>
    </w:pPr>
    <w:rPr>
      <w:i/>
      <w:u w:val="single"/>
    </w:rPr>
  </w:style>
  <w:style w:type="paragraph" w:customStyle="1" w:styleId="wiParagraph">
    <w:name w:val="wiParagraph"/>
    <w:basedOn w:val="wiBase"/>
    <w:rsid w:val="00011686"/>
    <w:pPr>
      <w:tabs>
        <w:tab w:val="right" w:pos="216"/>
        <w:tab w:val="left" w:pos="288"/>
      </w:tabs>
      <w:ind w:left="288" w:hanging="288"/>
    </w:pPr>
  </w:style>
  <w:style w:type="paragraph" w:styleId="TOC3">
    <w:name w:val="toc 3"/>
    <w:basedOn w:val="TOC4"/>
    <w:next w:val="Normal"/>
    <w:uiPriority w:val="99"/>
    <w:rsid w:val="00011686"/>
    <w:pPr>
      <w:tabs>
        <w:tab w:val="clear" w:pos="9648"/>
        <w:tab w:val="right" w:leader="dot" w:pos="9216"/>
      </w:tabs>
      <w:ind w:left="432"/>
    </w:pPr>
    <w:rPr>
      <w:sz w:val="20"/>
    </w:rPr>
  </w:style>
  <w:style w:type="paragraph" w:styleId="TOC4">
    <w:name w:val="toc 4"/>
    <w:basedOn w:val="Normal"/>
    <w:next w:val="Normal"/>
    <w:uiPriority w:val="99"/>
    <w:rsid w:val="00011686"/>
    <w:pPr>
      <w:tabs>
        <w:tab w:val="right" w:leader="dot" w:pos="9648"/>
      </w:tabs>
    </w:pPr>
    <w:rPr>
      <w:b/>
      <w:color w:val="0000FF"/>
      <w:sz w:val="18"/>
      <w:szCs w:val="20"/>
    </w:rPr>
  </w:style>
  <w:style w:type="paragraph" w:styleId="TOC6">
    <w:name w:val="toc 6"/>
    <w:basedOn w:val="Normal"/>
    <w:next w:val="Normal"/>
    <w:autoRedefine/>
    <w:uiPriority w:val="99"/>
    <w:locked/>
    <w:rsid w:val="00011686"/>
    <w:pPr>
      <w:tabs>
        <w:tab w:val="right" w:leader="dot" w:pos="9360"/>
      </w:tabs>
      <w:ind w:left="1440"/>
    </w:pPr>
  </w:style>
  <w:style w:type="paragraph" w:styleId="TOC7">
    <w:name w:val="toc 7"/>
    <w:basedOn w:val="Normal"/>
    <w:next w:val="Normal"/>
    <w:autoRedefine/>
    <w:uiPriority w:val="99"/>
    <w:locked/>
    <w:rsid w:val="00011686"/>
    <w:pPr>
      <w:tabs>
        <w:tab w:val="right" w:leader="dot" w:pos="9360"/>
      </w:tabs>
      <w:ind w:left="1728"/>
    </w:pPr>
  </w:style>
  <w:style w:type="paragraph" w:styleId="TOC8">
    <w:name w:val="toc 8"/>
    <w:basedOn w:val="Normal"/>
    <w:next w:val="Normal"/>
    <w:autoRedefine/>
    <w:uiPriority w:val="99"/>
    <w:locked/>
    <w:rsid w:val="00011686"/>
    <w:pPr>
      <w:tabs>
        <w:tab w:val="right" w:leader="dot" w:pos="9360"/>
      </w:tabs>
      <w:ind w:left="2016"/>
    </w:pPr>
  </w:style>
  <w:style w:type="paragraph" w:styleId="TOC9">
    <w:name w:val="toc 9"/>
    <w:basedOn w:val="Normal"/>
    <w:next w:val="Normal"/>
    <w:autoRedefine/>
    <w:uiPriority w:val="99"/>
    <w:locked/>
    <w:rsid w:val="00011686"/>
    <w:pPr>
      <w:tabs>
        <w:tab w:val="right" w:leader="dot" w:pos="9360"/>
      </w:tabs>
      <w:ind w:left="2304"/>
    </w:pPr>
  </w:style>
  <w:style w:type="paragraph" w:styleId="DocumentMap">
    <w:name w:val="Document Map"/>
    <w:basedOn w:val="Normal"/>
    <w:link w:val="DocumentMapChar"/>
    <w:uiPriority w:val="99"/>
    <w:semiHidden/>
    <w:locked/>
    <w:rsid w:val="00011686"/>
    <w:pPr>
      <w:shd w:val="clear" w:color="auto" w:fill="000080"/>
    </w:pPr>
    <w:rPr>
      <w:rFonts w:cs="Tahoma"/>
      <w:sz w:val="16"/>
    </w:rPr>
  </w:style>
  <w:style w:type="character" w:customStyle="1" w:styleId="DocumentMapChar">
    <w:name w:val="Document Map Char"/>
    <w:basedOn w:val="DefaultParagraphFont"/>
    <w:link w:val="DocumentMap"/>
    <w:uiPriority w:val="99"/>
    <w:semiHidden/>
    <w:locked/>
    <w:rsid w:val="00011686"/>
    <w:rPr>
      <w:rFonts w:cs="Tahoma"/>
      <w:color w:val="00B050"/>
      <w:sz w:val="16"/>
      <w:szCs w:val="24"/>
      <w:shd w:val="clear" w:color="auto" w:fill="000080"/>
    </w:rPr>
  </w:style>
  <w:style w:type="paragraph" w:styleId="Index1">
    <w:name w:val="index 1"/>
    <w:basedOn w:val="Normal"/>
    <w:next w:val="Normal"/>
    <w:uiPriority w:val="1"/>
    <w:semiHidden/>
    <w:rsid w:val="00011686"/>
    <w:pPr>
      <w:tabs>
        <w:tab w:val="right" w:pos="9072"/>
      </w:tabs>
      <w:spacing w:before="0" w:after="0"/>
      <w:ind w:left="1066" w:right="576" w:hanging="202"/>
    </w:pPr>
    <w:rPr>
      <w:color w:val="0000FF"/>
      <w:sz w:val="18"/>
      <w:u w:val="single"/>
    </w:rPr>
  </w:style>
  <w:style w:type="paragraph" w:styleId="Index2">
    <w:name w:val="index 2"/>
    <w:basedOn w:val="Index1"/>
    <w:next w:val="Normal"/>
    <w:uiPriority w:val="1"/>
    <w:semiHidden/>
    <w:rsid w:val="00011686"/>
    <w:pPr>
      <w:ind w:left="1440" w:firstLine="0"/>
    </w:pPr>
  </w:style>
  <w:style w:type="paragraph" w:styleId="IndexHeading">
    <w:name w:val="index heading"/>
    <w:basedOn w:val="Normal"/>
    <w:next w:val="Index1"/>
    <w:uiPriority w:val="1"/>
    <w:semiHidden/>
    <w:locked/>
    <w:rsid w:val="00011686"/>
    <w:pPr>
      <w:keepNext/>
      <w:jc w:val="center"/>
      <w:outlineLvl w:val="1"/>
    </w:pPr>
    <w:rPr>
      <w:b/>
      <w:bCs/>
      <w:color w:val="auto"/>
      <w:szCs w:val="20"/>
      <w:u w:val="words"/>
    </w:rPr>
  </w:style>
  <w:style w:type="character" w:customStyle="1" w:styleId="wiFutureLink">
    <w:name w:val="wiFutureLink"/>
    <w:rsid w:val="00011686"/>
    <w:rPr>
      <w:color w:val="00B050"/>
      <w:u w:val="single"/>
    </w:rPr>
  </w:style>
  <w:style w:type="paragraph" w:customStyle="1" w:styleId="wiNumList1">
    <w:name w:val="wiNumList1"/>
    <w:basedOn w:val="wiBase"/>
    <w:rsid w:val="00011686"/>
    <w:pPr>
      <w:tabs>
        <w:tab w:val="right" w:pos="792"/>
        <w:tab w:val="left" w:pos="864"/>
      </w:tabs>
      <w:ind w:left="864" w:hanging="864"/>
    </w:pPr>
    <w:rPr>
      <w:sz w:val="18"/>
    </w:rPr>
  </w:style>
  <w:style w:type="paragraph" w:customStyle="1" w:styleId="wiNumList1Bullet">
    <w:name w:val="wiNumList1Bullet"/>
    <w:basedOn w:val="wiNumList1"/>
    <w:qFormat/>
    <w:rsid w:val="00011686"/>
    <w:pPr>
      <w:tabs>
        <w:tab w:val="clear" w:pos="792"/>
        <w:tab w:val="clear" w:pos="864"/>
        <w:tab w:val="left" w:pos="1800"/>
      </w:tabs>
      <w:spacing w:before="0"/>
      <w:ind w:left="1512" w:hanging="144"/>
    </w:pPr>
  </w:style>
  <w:style w:type="paragraph" w:customStyle="1" w:styleId="wiNumList1Continuation">
    <w:name w:val="wiNumList1Continuation"/>
    <w:basedOn w:val="wiNumList1"/>
    <w:qFormat/>
    <w:rsid w:val="00011686"/>
    <w:pPr>
      <w:ind w:firstLine="0"/>
    </w:pPr>
  </w:style>
  <w:style w:type="paragraph" w:customStyle="1" w:styleId="wiNumList2">
    <w:name w:val="wiNumList2"/>
    <w:basedOn w:val="wiNumList1"/>
    <w:rsid w:val="00011686"/>
    <w:pPr>
      <w:tabs>
        <w:tab w:val="clear" w:pos="792"/>
        <w:tab w:val="clear" w:pos="864"/>
        <w:tab w:val="right" w:pos="1368"/>
        <w:tab w:val="left" w:pos="1440"/>
      </w:tabs>
      <w:ind w:left="1440" w:hanging="1440"/>
    </w:pPr>
  </w:style>
  <w:style w:type="paragraph" w:customStyle="1" w:styleId="wiNumList3">
    <w:name w:val="wiNumList3"/>
    <w:basedOn w:val="wiNumList1"/>
    <w:rsid w:val="00011686"/>
    <w:pPr>
      <w:tabs>
        <w:tab w:val="clear" w:pos="792"/>
        <w:tab w:val="clear" w:pos="864"/>
        <w:tab w:val="right" w:pos="1944"/>
        <w:tab w:val="left" w:pos="2016"/>
      </w:tabs>
      <w:ind w:left="2016" w:hanging="2016"/>
    </w:pPr>
  </w:style>
  <w:style w:type="paragraph" w:customStyle="1" w:styleId="wiNumList4">
    <w:name w:val="wiNumList4"/>
    <w:basedOn w:val="wiNumList1"/>
    <w:qFormat/>
    <w:rsid w:val="00011686"/>
    <w:pPr>
      <w:tabs>
        <w:tab w:val="clear" w:pos="792"/>
        <w:tab w:val="clear" w:pos="864"/>
        <w:tab w:val="right" w:pos="2664"/>
        <w:tab w:val="left" w:pos="2736"/>
      </w:tabs>
      <w:ind w:left="2736" w:hanging="2736"/>
    </w:pPr>
  </w:style>
  <w:style w:type="paragraph" w:customStyle="1" w:styleId="wiLeader">
    <w:name w:val="wiLeader"/>
    <w:basedOn w:val="wiBase"/>
    <w:rsid w:val="00011686"/>
    <w:pPr>
      <w:tabs>
        <w:tab w:val="right" w:leader="dot" w:pos="9648"/>
      </w:tabs>
      <w:spacing w:before="0"/>
      <w:ind w:left="576"/>
    </w:pPr>
    <w:rPr>
      <w:sz w:val="18"/>
    </w:rPr>
  </w:style>
  <w:style w:type="paragraph" w:customStyle="1" w:styleId="wiLeaderHead">
    <w:name w:val="wiLeaderHead"/>
    <w:basedOn w:val="wiLeader"/>
    <w:next w:val="wiLeader"/>
    <w:rsid w:val="00011686"/>
    <w:pPr>
      <w:tabs>
        <w:tab w:val="right" w:pos="9648"/>
      </w:tabs>
    </w:pPr>
  </w:style>
  <w:style w:type="paragraph" w:customStyle="1" w:styleId="wiLeaderIndent">
    <w:name w:val="wiLeaderIndent"/>
    <w:basedOn w:val="wiLeader"/>
    <w:rsid w:val="00011686"/>
    <w:pPr>
      <w:ind w:left="864"/>
    </w:pPr>
  </w:style>
  <w:style w:type="paragraph" w:customStyle="1" w:styleId="wiBullet1">
    <w:name w:val="wiBullet1"/>
    <w:basedOn w:val="wiBase"/>
    <w:rsid w:val="00011686"/>
    <w:pPr>
      <w:tabs>
        <w:tab w:val="left" w:pos="1152"/>
      </w:tabs>
      <w:ind w:left="864" w:hanging="144"/>
    </w:pPr>
    <w:rPr>
      <w:sz w:val="18"/>
    </w:rPr>
  </w:style>
  <w:style w:type="paragraph" w:customStyle="1" w:styleId="wiParagraphContinuation">
    <w:name w:val="wiParagraphContinuation"/>
    <w:basedOn w:val="wiBase"/>
    <w:rsid w:val="00011686"/>
    <w:pPr>
      <w:ind w:left="288"/>
    </w:pPr>
  </w:style>
  <w:style w:type="paragraph" w:customStyle="1" w:styleId="wiParagraphIndent">
    <w:name w:val="wiParagraphIndent"/>
    <w:basedOn w:val="wiBase"/>
    <w:rsid w:val="00011686"/>
    <w:pPr>
      <w:ind w:left="576"/>
    </w:pPr>
  </w:style>
  <w:style w:type="character" w:customStyle="1" w:styleId="wiParagraphNumber">
    <w:name w:val="wiParagraphNumber"/>
    <w:basedOn w:val="DefaultParagraphFont"/>
    <w:rsid w:val="00011686"/>
    <w:rPr>
      <w:color w:val="auto"/>
      <w:sz w:val="12"/>
      <w:szCs w:val="12"/>
    </w:rPr>
  </w:style>
  <w:style w:type="paragraph" w:customStyle="1" w:styleId="wiPart">
    <w:name w:val="wiPart"/>
    <w:basedOn w:val="wiBase"/>
    <w:rsid w:val="00011686"/>
    <w:pPr>
      <w:spacing w:before="4000" w:after="240"/>
      <w:jc w:val="center"/>
      <w:outlineLvl w:val="0"/>
    </w:pPr>
    <w:rPr>
      <w:sz w:val="40"/>
    </w:rPr>
  </w:style>
  <w:style w:type="paragraph" w:customStyle="1" w:styleId="wiChangeTitle">
    <w:name w:val="wiChangeTitle"/>
    <w:basedOn w:val="wiBase"/>
    <w:next w:val="wiAnnotation"/>
    <w:rsid w:val="00011686"/>
    <w:pPr>
      <w:keepNext/>
      <w:pBdr>
        <w:top w:val="single" w:sz="6" w:space="3" w:color="C0C0C0"/>
        <w:bottom w:val="single" w:sz="6" w:space="3" w:color="C0C0C0"/>
      </w:pBdr>
      <w:shd w:val="clear" w:color="auto" w:fill="FFFF99"/>
      <w:ind w:left="-576" w:right="-576"/>
      <w:jc w:val="center"/>
    </w:pPr>
    <w:rPr>
      <w:b/>
      <w:i/>
      <w:snapToGrid w:val="0"/>
      <w:sz w:val="28"/>
    </w:rPr>
  </w:style>
  <w:style w:type="paragraph" w:customStyle="1" w:styleId="wiSection">
    <w:name w:val="wiSection"/>
    <w:basedOn w:val="wiBase"/>
    <w:next w:val="wiHeading1"/>
    <w:qFormat/>
    <w:rsid w:val="00011686"/>
    <w:pPr>
      <w:spacing w:before="0"/>
      <w:ind w:left="288"/>
      <w:jc w:val="center"/>
      <w:outlineLvl w:val="0"/>
    </w:pPr>
    <w:rPr>
      <w:b/>
      <w:sz w:val="22"/>
    </w:rPr>
  </w:style>
  <w:style w:type="paragraph" w:customStyle="1" w:styleId="wiHeading1">
    <w:name w:val="wiHeading1"/>
    <w:basedOn w:val="wiBase"/>
    <w:next w:val="wiParagraph"/>
    <w:rsid w:val="00011686"/>
    <w:pPr>
      <w:keepNext/>
      <w:spacing w:after="0"/>
      <w:ind w:left="288"/>
      <w:outlineLvl w:val="1"/>
    </w:pPr>
    <w:rPr>
      <w:b/>
    </w:rPr>
  </w:style>
  <w:style w:type="paragraph" w:customStyle="1" w:styleId="wiHeading2">
    <w:name w:val="wiHeading2"/>
    <w:basedOn w:val="wiHeading1"/>
    <w:next w:val="wiParagraph"/>
    <w:rsid w:val="00011686"/>
    <w:pPr>
      <w:outlineLvl w:val="2"/>
    </w:pPr>
  </w:style>
  <w:style w:type="paragraph" w:customStyle="1" w:styleId="wiHeading3">
    <w:name w:val="wiHeading3"/>
    <w:basedOn w:val="wiHeading1"/>
    <w:next w:val="wiParagraph"/>
    <w:rsid w:val="00011686"/>
    <w:pPr>
      <w:outlineLvl w:val="3"/>
    </w:pPr>
  </w:style>
  <w:style w:type="paragraph" w:customStyle="1" w:styleId="wiHeading4">
    <w:name w:val="wiHeading4"/>
    <w:basedOn w:val="wiHeading1"/>
    <w:next w:val="wiParagraph"/>
    <w:rsid w:val="00011686"/>
    <w:pPr>
      <w:outlineLvl w:val="4"/>
    </w:pPr>
  </w:style>
  <w:style w:type="paragraph" w:customStyle="1" w:styleId="wiHeading5">
    <w:name w:val="wiHeading5"/>
    <w:basedOn w:val="wiHeading1"/>
    <w:next w:val="wiParagraph"/>
    <w:rsid w:val="00011686"/>
    <w:pPr>
      <w:outlineLvl w:val="5"/>
    </w:pPr>
  </w:style>
  <w:style w:type="paragraph" w:customStyle="1" w:styleId="wiHeading6">
    <w:name w:val="wiHeading6"/>
    <w:basedOn w:val="wiHeading1"/>
    <w:next w:val="wiParagraph"/>
    <w:rsid w:val="00011686"/>
    <w:pPr>
      <w:outlineLvl w:val="6"/>
    </w:pPr>
  </w:style>
  <w:style w:type="paragraph" w:customStyle="1" w:styleId="wiHeading7">
    <w:name w:val="wiHeading7"/>
    <w:basedOn w:val="wiHeading1"/>
    <w:next w:val="wiParagraph"/>
    <w:rsid w:val="00011686"/>
    <w:pPr>
      <w:outlineLvl w:val="7"/>
    </w:pPr>
  </w:style>
  <w:style w:type="paragraph" w:customStyle="1" w:styleId="wiHeading8">
    <w:name w:val="wiHeading8"/>
    <w:basedOn w:val="wiHeading1"/>
    <w:next w:val="wiParagraph"/>
    <w:rsid w:val="00011686"/>
    <w:pPr>
      <w:outlineLvl w:val="8"/>
    </w:pPr>
  </w:style>
  <w:style w:type="paragraph" w:customStyle="1" w:styleId="wiTable2Col">
    <w:name w:val="wiTable2Col"/>
    <w:basedOn w:val="wiTableBase"/>
    <w:rsid w:val="00011686"/>
    <w:pPr>
      <w:tabs>
        <w:tab w:val="center" w:pos="2635"/>
        <w:tab w:val="center" w:pos="7315"/>
      </w:tabs>
      <w:ind w:left="288"/>
    </w:pPr>
  </w:style>
  <w:style w:type="paragraph" w:customStyle="1" w:styleId="wiTableBase">
    <w:name w:val="wiTableBase"/>
    <w:basedOn w:val="wiBase"/>
    <w:rsid w:val="00011686"/>
    <w:pPr>
      <w:spacing w:before="0"/>
    </w:pPr>
    <w:rPr>
      <w:sz w:val="18"/>
    </w:rPr>
  </w:style>
  <w:style w:type="paragraph" w:customStyle="1" w:styleId="wiTable3Col">
    <w:name w:val="wiTable3Col"/>
    <w:basedOn w:val="wiTableBase"/>
    <w:rsid w:val="00011686"/>
    <w:pPr>
      <w:tabs>
        <w:tab w:val="center" w:pos="1843"/>
        <w:tab w:val="center" w:pos="4968"/>
        <w:tab w:val="center" w:pos="8093"/>
      </w:tabs>
      <w:ind w:left="288"/>
    </w:pPr>
  </w:style>
  <w:style w:type="paragraph" w:customStyle="1" w:styleId="wiTable3Col12">
    <w:name w:val="wiTable3Col12"/>
    <w:basedOn w:val="wiTable3Col"/>
    <w:next w:val="wiTable3Col"/>
    <w:rsid w:val="00011686"/>
    <w:pPr>
      <w:tabs>
        <w:tab w:val="clear" w:pos="1843"/>
        <w:tab w:val="clear" w:pos="4968"/>
        <w:tab w:val="center" w:pos="3406"/>
      </w:tabs>
    </w:pPr>
  </w:style>
  <w:style w:type="paragraph" w:customStyle="1" w:styleId="wiTable3Col23">
    <w:name w:val="wiTable3Col23"/>
    <w:basedOn w:val="wiTable3Col"/>
    <w:next w:val="wiTable3Col"/>
    <w:rsid w:val="00011686"/>
    <w:pPr>
      <w:tabs>
        <w:tab w:val="clear" w:pos="4968"/>
        <w:tab w:val="clear" w:pos="8093"/>
        <w:tab w:val="center" w:pos="6530"/>
      </w:tabs>
    </w:pPr>
  </w:style>
  <w:style w:type="paragraph" w:customStyle="1" w:styleId="wiTable4Col">
    <w:name w:val="wiTable4Col"/>
    <w:basedOn w:val="wiTableBase"/>
    <w:rsid w:val="00011686"/>
    <w:pPr>
      <w:tabs>
        <w:tab w:val="center" w:pos="1454"/>
        <w:tab w:val="center" w:pos="3802"/>
        <w:tab w:val="center" w:pos="6134"/>
        <w:tab w:val="center" w:pos="8482"/>
      </w:tabs>
      <w:ind w:left="288"/>
    </w:pPr>
  </w:style>
  <w:style w:type="paragraph" w:customStyle="1" w:styleId="wiTable4Col234">
    <w:name w:val="wiTable4Col234"/>
    <w:basedOn w:val="wiTable4Col"/>
    <w:next w:val="wiTable4Col"/>
    <w:rsid w:val="00011686"/>
    <w:pPr>
      <w:tabs>
        <w:tab w:val="clear" w:pos="3802"/>
        <w:tab w:val="clear" w:pos="8482"/>
      </w:tabs>
    </w:pPr>
  </w:style>
  <w:style w:type="paragraph" w:customStyle="1" w:styleId="wiTable5Col">
    <w:name w:val="wiTable5Col"/>
    <w:basedOn w:val="wiTableBase"/>
    <w:rsid w:val="00011686"/>
    <w:pPr>
      <w:tabs>
        <w:tab w:val="center" w:pos="1224"/>
        <w:tab w:val="center" w:pos="3096"/>
        <w:tab w:val="center" w:pos="4968"/>
        <w:tab w:val="center" w:pos="6840"/>
        <w:tab w:val="center" w:pos="8712"/>
      </w:tabs>
      <w:ind w:left="288"/>
    </w:pPr>
  </w:style>
  <w:style w:type="paragraph" w:customStyle="1" w:styleId="wiTable6Col">
    <w:name w:val="wiTable6Col"/>
    <w:basedOn w:val="wiTableBase"/>
    <w:rsid w:val="00011686"/>
    <w:pPr>
      <w:tabs>
        <w:tab w:val="center" w:pos="1066"/>
        <w:tab w:val="center" w:pos="2635"/>
        <w:tab w:val="center" w:pos="4190"/>
        <w:tab w:val="center" w:pos="5746"/>
        <w:tab w:val="center" w:pos="7315"/>
        <w:tab w:val="center" w:pos="8870"/>
      </w:tabs>
      <w:ind w:left="288"/>
    </w:pPr>
  </w:style>
  <w:style w:type="paragraph" w:customStyle="1" w:styleId="wiTable7Col">
    <w:name w:val="wiTable7Col"/>
    <w:basedOn w:val="wiTableBase"/>
    <w:rsid w:val="00011686"/>
    <w:pPr>
      <w:tabs>
        <w:tab w:val="center" w:pos="950"/>
        <w:tab w:val="center" w:pos="2290"/>
        <w:tab w:val="center" w:pos="3629"/>
        <w:tab w:val="center" w:pos="4968"/>
        <w:tab w:val="center" w:pos="6307"/>
        <w:tab w:val="center" w:pos="7646"/>
        <w:tab w:val="center" w:pos="8986"/>
      </w:tabs>
      <w:ind w:left="288"/>
    </w:pPr>
  </w:style>
  <w:style w:type="paragraph" w:customStyle="1" w:styleId="wiTable8Col">
    <w:name w:val="wiTable8Col"/>
    <w:basedOn w:val="wiTableBase"/>
    <w:rsid w:val="00011686"/>
    <w:pPr>
      <w:tabs>
        <w:tab w:val="center" w:pos="878"/>
        <w:tab w:val="center" w:pos="2045"/>
        <w:tab w:val="center" w:pos="3211"/>
        <w:tab w:val="center" w:pos="4378"/>
        <w:tab w:val="center" w:pos="5558"/>
        <w:tab w:val="center" w:pos="6725"/>
        <w:tab w:val="center" w:pos="7891"/>
        <w:tab w:val="center" w:pos="9058"/>
      </w:tabs>
      <w:ind w:left="288"/>
    </w:pPr>
  </w:style>
  <w:style w:type="paragraph" w:customStyle="1" w:styleId="wiTableFooter">
    <w:name w:val="wiTableFooter"/>
    <w:basedOn w:val="wiBase"/>
    <w:rsid w:val="00011686"/>
    <w:pPr>
      <w:tabs>
        <w:tab w:val="right" w:pos="504"/>
        <w:tab w:val="left" w:pos="576"/>
      </w:tabs>
      <w:ind w:left="576" w:hanging="576"/>
    </w:pPr>
    <w:rPr>
      <w:sz w:val="18"/>
    </w:rPr>
  </w:style>
  <w:style w:type="paragraph" w:customStyle="1" w:styleId="wiTableTitle">
    <w:name w:val="wiTableTitle"/>
    <w:basedOn w:val="wiBase"/>
    <w:rsid w:val="00011686"/>
    <w:pPr>
      <w:keepNext/>
      <w:spacing w:before="120" w:after="0"/>
      <w:ind w:left="288"/>
      <w:jc w:val="center"/>
    </w:pPr>
    <w:rPr>
      <w:b/>
      <w:sz w:val="18"/>
    </w:rPr>
  </w:style>
  <w:style w:type="paragraph" w:customStyle="1" w:styleId="wiText2Col">
    <w:name w:val="wiText2Col"/>
    <w:basedOn w:val="wiTableBase"/>
    <w:rsid w:val="00011686"/>
    <w:pPr>
      <w:tabs>
        <w:tab w:val="left" w:pos="5112"/>
      </w:tabs>
      <w:ind w:left="576"/>
    </w:pPr>
  </w:style>
  <w:style w:type="paragraph" w:customStyle="1" w:styleId="wiText3Col">
    <w:name w:val="wiText3Col"/>
    <w:basedOn w:val="wiTableBase"/>
    <w:rsid w:val="00011686"/>
    <w:pPr>
      <w:tabs>
        <w:tab w:val="left" w:pos="3600"/>
        <w:tab w:val="left" w:pos="6624"/>
      </w:tabs>
      <w:ind w:left="576"/>
    </w:pPr>
  </w:style>
  <w:style w:type="paragraph" w:customStyle="1" w:styleId="wiText4Col">
    <w:name w:val="wiText4Col"/>
    <w:basedOn w:val="wiTableBase"/>
    <w:rsid w:val="00011686"/>
    <w:pPr>
      <w:tabs>
        <w:tab w:val="left" w:pos="2851"/>
        <w:tab w:val="left" w:pos="5112"/>
        <w:tab w:val="left" w:pos="7387"/>
      </w:tabs>
      <w:ind w:left="576"/>
    </w:pPr>
  </w:style>
  <w:style w:type="paragraph" w:customStyle="1" w:styleId="wiText4Col2Col">
    <w:name w:val="wiText4Col2Col"/>
    <w:basedOn w:val="wiText4Col"/>
    <w:next w:val="wiText4Col"/>
    <w:rsid w:val="00011686"/>
    <w:pPr>
      <w:tabs>
        <w:tab w:val="clear" w:pos="2851"/>
        <w:tab w:val="clear" w:pos="5112"/>
        <w:tab w:val="clear" w:pos="7387"/>
        <w:tab w:val="left" w:pos="1620"/>
        <w:tab w:val="left" w:pos="5040"/>
        <w:tab w:val="left" w:pos="5940"/>
      </w:tabs>
      <w:ind w:left="720"/>
    </w:pPr>
  </w:style>
  <w:style w:type="paragraph" w:customStyle="1" w:styleId="wiText4ColIndent">
    <w:name w:val="wiText4ColIndent"/>
    <w:basedOn w:val="wiText4Col"/>
    <w:rsid w:val="00011686"/>
    <w:pPr>
      <w:ind w:left="864"/>
    </w:pPr>
  </w:style>
  <w:style w:type="paragraph" w:customStyle="1" w:styleId="wiText5Col">
    <w:name w:val="wiText5Col"/>
    <w:basedOn w:val="wiTableBase"/>
    <w:rsid w:val="00011686"/>
    <w:pPr>
      <w:tabs>
        <w:tab w:val="left" w:pos="2390"/>
        <w:tab w:val="left" w:pos="4205"/>
        <w:tab w:val="left" w:pos="6019"/>
        <w:tab w:val="left" w:pos="7834"/>
      </w:tabs>
      <w:ind w:left="576"/>
    </w:pPr>
  </w:style>
  <w:style w:type="paragraph" w:customStyle="1" w:styleId="wiText6Col">
    <w:name w:val="wiText6Col"/>
    <w:basedOn w:val="wiTableBase"/>
    <w:rsid w:val="00011686"/>
    <w:pPr>
      <w:tabs>
        <w:tab w:val="left" w:pos="2088"/>
        <w:tab w:val="left" w:pos="3600"/>
        <w:tab w:val="left" w:pos="5112"/>
        <w:tab w:val="left" w:pos="6624"/>
        <w:tab w:val="left" w:pos="8136"/>
      </w:tabs>
      <w:ind w:left="576"/>
    </w:pPr>
  </w:style>
  <w:style w:type="paragraph" w:customStyle="1" w:styleId="wiText7Col">
    <w:name w:val="wiText7Col"/>
    <w:basedOn w:val="wiTableBase"/>
    <w:rsid w:val="00011686"/>
    <w:pPr>
      <w:tabs>
        <w:tab w:val="left" w:pos="1872"/>
        <w:tab w:val="left" w:pos="3168"/>
        <w:tab w:val="left" w:pos="4464"/>
        <w:tab w:val="left" w:pos="5760"/>
        <w:tab w:val="left" w:pos="7056"/>
        <w:tab w:val="left" w:pos="8352"/>
      </w:tabs>
      <w:ind w:left="576"/>
    </w:pPr>
  </w:style>
  <w:style w:type="paragraph" w:customStyle="1" w:styleId="wiText8Col">
    <w:name w:val="wiText8Col"/>
    <w:basedOn w:val="wiTableBase"/>
    <w:rsid w:val="00011686"/>
    <w:pPr>
      <w:tabs>
        <w:tab w:val="left" w:pos="1714"/>
        <w:tab w:val="left" w:pos="2851"/>
        <w:tab w:val="left" w:pos="3974"/>
        <w:tab w:val="left" w:pos="5112"/>
        <w:tab w:val="left" w:pos="6250"/>
        <w:tab w:val="left" w:pos="7387"/>
        <w:tab w:val="left" w:pos="8510"/>
      </w:tabs>
      <w:ind w:left="576"/>
    </w:pPr>
  </w:style>
  <w:style w:type="paragraph" w:customStyle="1" w:styleId="wiHeadingMisc2">
    <w:name w:val="wiHeadingMisc2"/>
    <w:basedOn w:val="wiBase"/>
    <w:rsid w:val="00011686"/>
    <w:pPr>
      <w:pBdr>
        <w:bottom w:val="single" w:sz="12" w:space="1" w:color="auto"/>
      </w:pBdr>
      <w:jc w:val="center"/>
      <w:outlineLvl w:val="1"/>
    </w:pPr>
    <w:rPr>
      <w:b/>
      <w:sz w:val="24"/>
    </w:rPr>
  </w:style>
  <w:style w:type="paragraph" w:customStyle="1" w:styleId="wiHeadingMisc1">
    <w:name w:val="wiHeadingMisc1"/>
    <w:basedOn w:val="wiBase"/>
    <w:rsid w:val="00011686"/>
    <w:pPr>
      <w:jc w:val="center"/>
      <w:outlineLvl w:val="0"/>
    </w:pPr>
    <w:rPr>
      <w:b/>
      <w:sz w:val="24"/>
    </w:rPr>
  </w:style>
  <w:style w:type="paragraph" w:styleId="Title">
    <w:name w:val="Title"/>
    <w:basedOn w:val="Normal"/>
    <w:link w:val="TitleChar"/>
    <w:uiPriority w:val="99"/>
    <w:semiHidden/>
    <w:rsid w:val="00011686"/>
    <w:pPr>
      <w:jc w:val="center"/>
      <w:outlineLvl w:val="0"/>
    </w:pPr>
    <w:rPr>
      <w:bCs/>
      <w:color w:val="auto"/>
      <w:sz w:val="24"/>
      <w:szCs w:val="32"/>
    </w:rPr>
  </w:style>
  <w:style w:type="character" w:customStyle="1" w:styleId="TitleChar">
    <w:name w:val="Title Char"/>
    <w:basedOn w:val="DefaultParagraphFont"/>
    <w:link w:val="Title"/>
    <w:uiPriority w:val="99"/>
    <w:semiHidden/>
    <w:rsid w:val="00011686"/>
    <w:rPr>
      <w:bCs/>
      <w:sz w:val="24"/>
      <w:szCs w:val="32"/>
    </w:rPr>
  </w:style>
  <w:style w:type="character" w:customStyle="1" w:styleId="wiBotanicalName">
    <w:name w:val="wiBotanicalName"/>
    <w:basedOn w:val="DefaultParagraphFont"/>
    <w:rsid w:val="00011686"/>
    <w:rPr>
      <w:i/>
      <w:sz w:val="18"/>
    </w:rPr>
  </w:style>
  <w:style w:type="paragraph" w:customStyle="1" w:styleId="wiUndefined">
    <w:name w:val="wiUndefined"/>
    <w:basedOn w:val="wiBase"/>
    <w:rsid w:val="00011686"/>
    <w:rPr>
      <w:color w:val="663300"/>
    </w:rPr>
  </w:style>
  <w:style w:type="paragraph" w:customStyle="1" w:styleId="wiBidItemTable">
    <w:name w:val="wiBidItemTable"/>
    <w:basedOn w:val="wiBase"/>
    <w:rsid w:val="00011686"/>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604"/>
        <w:tab w:val="right" w:pos="9648"/>
      </w:tabs>
      <w:spacing w:before="0" w:after="0"/>
      <w:ind w:left="284"/>
    </w:pPr>
    <w:rPr>
      <w:sz w:val="18"/>
    </w:rPr>
  </w:style>
  <w:style w:type="paragraph" w:customStyle="1" w:styleId="wiBidItemTableHeader">
    <w:name w:val="wiBidItemTableHeader"/>
    <w:basedOn w:val="wiBidItemTable"/>
    <w:rsid w:val="00011686"/>
    <w:pPr>
      <w:pBdr>
        <w:top w:val="none" w:sz="0" w:space="0" w:color="auto"/>
        <w:left w:val="none" w:sz="0" w:space="0" w:color="auto"/>
        <w:bottom w:val="none" w:sz="0" w:space="0" w:color="auto"/>
        <w:right w:val="none" w:sz="0" w:space="0" w:color="auto"/>
        <w:between w:val="none" w:sz="0" w:space="0" w:color="auto"/>
        <w:bar w:val="none" w:sz="0" w:color="auto"/>
      </w:pBdr>
      <w:tabs>
        <w:tab w:val="clear" w:pos="1604"/>
      </w:tabs>
      <w:spacing w:before="240"/>
      <w:ind w:left="288"/>
      <w:jc w:val="center"/>
      <w:outlineLvl w:val="1"/>
    </w:pPr>
    <w:rPr>
      <w:b/>
      <w:sz w:val="20"/>
    </w:rPr>
  </w:style>
  <w:style w:type="paragraph" w:customStyle="1" w:styleId="wiUserTitle">
    <w:name w:val="wiUserTitle"/>
    <w:rsid w:val="00011686"/>
    <w:pPr>
      <w:jc w:val="center"/>
    </w:pPr>
    <w:rPr>
      <w:sz w:val="48"/>
    </w:rPr>
  </w:style>
  <w:style w:type="paragraph" w:customStyle="1" w:styleId="wiWebLink">
    <w:name w:val="wiWebLink"/>
    <w:basedOn w:val="wiBase"/>
    <w:rsid w:val="00011686"/>
    <w:pPr>
      <w:widowControl w:val="0"/>
      <w:spacing w:before="0"/>
      <w:jc w:val="center"/>
    </w:pPr>
    <w:rPr>
      <w:color w:val="0000FF"/>
      <w:sz w:val="18"/>
      <w:u w:val="single"/>
    </w:rPr>
  </w:style>
  <w:style w:type="paragraph" w:customStyle="1" w:styleId="wiEqBase">
    <w:name w:val="wiEqBase"/>
    <w:rsid w:val="00011686"/>
    <w:rPr>
      <w:sz w:val="18"/>
    </w:rPr>
  </w:style>
  <w:style w:type="paragraph" w:customStyle="1" w:styleId="wiEqDescriptor">
    <w:name w:val="wiEqDescriptor"/>
    <w:basedOn w:val="wiEqBase"/>
    <w:rsid w:val="00011686"/>
    <w:pPr>
      <w:ind w:right="6192"/>
      <w:jc w:val="right"/>
    </w:pPr>
    <w:rPr>
      <w:b/>
    </w:rPr>
  </w:style>
  <w:style w:type="paragraph" w:customStyle="1" w:styleId="wiEqExpression">
    <w:name w:val="wiEqExpression"/>
    <w:basedOn w:val="wiEqBase"/>
    <w:rsid w:val="00011686"/>
    <w:pPr>
      <w:jc w:val="center"/>
    </w:pPr>
    <w:rPr>
      <w:b/>
    </w:rPr>
  </w:style>
  <w:style w:type="paragraph" w:customStyle="1" w:styleId="wiEquation">
    <w:name w:val="wiEquation"/>
    <w:basedOn w:val="wiBase"/>
    <w:rsid w:val="00011686"/>
    <w:pPr>
      <w:widowControl w:val="0"/>
      <w:jc w:val="center"/>
    </w:pPr>
    <w:rPr>
      <w:rFonts w:cs="Arial"/>
    </w:rPr>
  </w:style>
  <w:style w:type="paragraph" w:customStyle="1" w:styleId="wiEqVariable">
    <w:name w:val="wiEqVariable"/>
    <w:basedOn w:val="wiEqBase"/>
    <w:rsid w:val="00011686"/>
    <w:pPr>
      <w:tabs>
        <w:tab w:val="right" w:pos="3600"/>
        <w:tab w:val="left" w:pos="3744"/>
      </w:tabs>
      <w:ind w:left="3744" w:hanging="3744"/>
    </w:pPr>
  </w:style>
  <w:style w:type="paragraph" w:customStyle="1" w:styleId="wiEqVariableBullet">
    <w:name w:val="wiEqVariableBullet"/>
    <w:basedOn w:val="wiEqVariable"/>
    <w:rsid w:val="00011686"/>
    <w:pPr>
      <w:tabs>
        <w:tab w:val="clear" w:pos="3600"/>
        <w:tab w:val="clear" w:pos="3744"/>
        <w:tab w:val="left" w:pos="4032"/>
      </w:tabs>
      <w:ind w:left="4176" w:hanging="288"/>
    </w:pPr>
  </w:style>
  <w:style w:type="paragraph" w:customStyle="1" w:styleId="wiEqVariableContinuation">
    <w:name w:val="wiEqVariableContinuation"/>
    <w:basedOn w:val="wiEqVariable"/>
    <w:rsid w:val="00011686"/>
    <w:pPr>
      <w:ind w:firstLine="0"/>
    </w:pPr>
  </w:style>
  <w:style w:type="paragraph" w:customStyle="1" w:styleId="wiAddress">
    <w:name w:val="wiAddress"/>
    <w:basedOn w:val="wiBase"/>
    <w:rsid w:val="00011686"/>
    <w:pPr>
      <w:widowControl w:val="0"/>
      <w:spacing w:before="0"/>
      <w:ind w:left="1440"/>
    </w:pPr>
    <w:rPr>
      <w:sz w:val="18"/>
    </w:rPr>
  </w:style>
  <w:style w:type="paragraph" w:customStyle="1" w:styleId="wiAddressIndent">
    <w:name w:val="wiAddressIndent"/>
    <w:basedOn w:val="wiAddress"/>
    <w:rsid w:val="00011686"/>
    <w:pPr>
      <w:ind w:left="2160"/>
    </w:pPr>
  </w:style>
  <w:style w:type="paragraph" w:customStyle="1" w:styleId="wiComment">
    <w:name w:val="wiComment"/>
    <w:rsid w:val="00011686"/>
    <w:pPr>
      <w:widowControl w:val="0"/>
      <w:spacing w:before="120" w:after="120"/>
      <w:ind w:left="-432" w:right="-432"/>
    </w:pPr>
    <w:rPr>
      <w:b/>
      <w:i/>
      <w:color w:val="CC0000"/>
      <w:sz w:val="24"/>
    </w:rPr>
  </w:style>
  <w:style w:type="character" w:customStyle="1" w:styleId="wiDefinitionTerm">
    <w:name w:val="wiDefinitionTerm"/>
    <w:basedOn w:val="DefaultParagraphFont"/>
    <w:rsid w:val="00011686"/>
    <w:rPr>
      <w:b/>
    </w:rPr>
  </w:style>
  <w:style w:type="paragraph" w:customStyle="1" w:styleId="wiDefinition">
    <w:name w:val="wiDefinition"/>
    <w:basedOn w:val="wiBase"/>
    <w:rsid w:val="00011686"/>
    <w:pPr>
      <w:tabs>
        <w:tab w:val="right" w:pos="3744"/>
        <w:tab w:val="left" w:pos="3888"/>
      </w:tabs>
      <w:ind w:left="3888" w:hanging="3888"/>
    </w:pPr>
    <w:rPr>
      <w:sz w:val="18"/>
    </w:rPr>
  </w:style>
  <w:style w:type="paragraph" w:customStyle="1" w:styleId="wiDefinitionBullet">
    <w:name w:val="wiDefinitionBullet"/>
    <w:basedOn w:val="wiBase"/>
    <w:rsid w:val="00011686"/>
    <w:pPr>
      <w:tabs>
        <w:tab w:val="left" w:pos="4320"/>
      </w:tabs>
      <w:spacing w:before="0"/>
      <w:ind w:left="4320" w:hanging="144"/>
    </w:pPr>
    <w:rPr>
      <w:sz w:val="18"/>
    </w:rPr>
  </w:style>
  <w:style w:type="paragraph" w:customStyle="1" w:styleId="wiDefinitionContinuation">
    <w:name w:val="wiDefinitionContinuation"/>
    <w:basedOn w:val="wiBase"/>
    <w:rsid w:val="00011686"/>
    <w:pPr>
      <w:ind w:left="3888"/>
    </w:pPr>
    <w:rPr>
      <w:sz w:val="18"/>
    </w:rPr>
  </w:style>
  <w:style w:type="paragraph" w:customStyle="1" w:styleId="wiDefinitionList">
    <w:name w:val="wiDefinitionList"/>
    <w:basedOn w:val="wiBase"/>
    <w:rsid w:val="00011686"/>
    <w:pPr>
      <w:tabs>
        <w:tab w:val="right" w:pos="4248"/>
        <w:tab w:val="left" w:pos="4320"/>
      </w:tabs>
      <w:spacing w:before="0"/>
      <w:ind w:left="4320" w:hanging="4320"/>
    </w:pPr>
    <w:rPr>
      <w:sz w:val="18"/>
    </w:rPr>
  </w:style>
  <w:style w:type="paragraph" w:customStyle="1" w:styleId="wiDefinitionSub1">
    <w:name w:val="wiDefinitionSub1"/>
    <w:basedOn w:val="wiDefinition"/>
    <w:rsid w:val="00011686"/>
    <w:pPr>
      <w:tabs>
        <w:tab w:val="clear" w:pos="3744"/>
        <w:tab w:val="clear" w:pos="3888"/>
        <w:tab w:val="right" w:pos="4464"/>
        <w:tab w:val="left" w:pos="4608"/>
      </w:tabs>
      <w:ind w:left="4608" w:hanging="4608"/>
    </w:pPr>
  </w:style>
  <w:style w:type="paragraph" w:styleId="Index3">
    <w:name w:val="index 3"/>
    <w:basedOn w:val="Normal"/>
    <w:next w:val="Normal"/>
    <w:autoRedefine/>
    <w:uiPriority w:val="99"/>
    <w:semiHidden/>
    <w:locked/>
    <w:rsid w:val="00011686"/>
    <w:pPr>
      <w:ind w:left="600" w:hanging="200"/>
    </w:pPr>
  </w:style>
  <w:style w:type="paragraph" w:styleId="Index4">
    <w:name w:val="index 4"/>
    <w:basedOn w:val="Normal"/>
    <w:next w:val="Normal"/>
    <w:autoRedefine/>
    <w:uiPriority w:val="99"/>
    <w:semiHidden/>
    <w:locked/>
    <w:rsid w:val="00011686"/>
    <w:pPr>
      <w:ind w:left="800" w:hanging="200"/>
    </w:pPr>
  </w:style>
  <w:style w:type="paragraph" w:styleId="Index5">
    <w:name w:val="index 5"/>
    <w:basedOn w:val="Normal"/>
    <w:next w:val="Normal"/>
    <w:autoRedefine/>
    <w:uiPriority w:val="99"/>
    <w:semiHidden/>
    <w:locked/>
    <w:rsid w:val="00011686"/>
    <w:pPr>
      <w:ind w:left="1000" w:hanging="200"/>
    </w:pPr>
  </w:style>
  <w:style w:type="paragraph" w:styleId="Index6">
    <w:name w:val="index 6"/>
    <w:basedOn w:val="Normal"/>
    <w:next w:val="Normal"/>
    <w:autoRedefine/>
    <w:uiPriority w:val="99"/>
    <w:semiHidden/>
    <w:locked/>
    <w:rsid w:val="00011686"/>
    <w:pPr>
      <w:ind w:left="1200" w:hanging="200"/>
    </w:pPr>
  </w:style>
  <w:style w:type="paragraph" w:styleId="Index7">
    <w:name w:val="index 7"/>
    <w:basedOn w:val="Normal"/>
    <w:next w:val="Normal"/>
    <w:autoRedefine/>
    <w:uiPriority w:val="99"/>
    <w:semiHidden/>
    <w:locked/>
    <w:rsid w:val="00011686"/>
    <w:pPr>
      <w:ind w:left="1400" w:hanging="200"/>
    </w:pPr>
  </w:style>
  <w:style w:type="paragraph" w:styleId="Index8">
    <w:name w:val="index 8"/>
    <w:basedOn w:val="Normal"/>
    <w:next w:val="Normal"/>
    <w:autoRedefine/>
    <w:uiPriority w:val="99"/>
    <w:semiHidden/>
    <w:locked/>
    <w:rsid w:val="00011686"/>
    <w:pPr>
      <w:ind w:left="1600" w:hanging="200"/>
    </w:pPr>
  </w:style>
  <w:style w:type="paragraph" w:styleId="Index9">
    <w:name w:val="index 9"/>
    <w:basedOn w:val="Normal"/>
    <w:next w:val="Normal"/>
    <w:autoRedefine/>
    <w:uiPriority w:val="99"/>
    <w:semiHidden/>
    <w:locked/>
    <w:rsid w:val="00011686"/>
    <w:pPr>
      <w:ind w:left="1800" w:hanging="200"/>
    </w:pPr>
  </w:style>
  <w:style w:type="paragraph" w:styleId="TOC5">
    <w:name w:val="toc 5"/>
    <w:basedOn w:val="Normal"/>
    <w:next w:val="Normal"/>
    <w:uiPriority w:val="99"/>
    <w:locked/>
    <w:rsid w:val="00011686"/>
    <w:pPr>
      <w:spacing w:before="0" w:after="0"/>
      <w:ind w:left="806"/>
    </w:pPr>
    <w:rPr>
      <w:color w:val="FFFFFF" w:themeColor="background1"/>
      <w:sz w:val="4"/>
    </w:rPr>
  </w:style>
  <w:style w:type="paragraph" w:styleId="NormalIndent">
    <w:name w:val="Normal Indent"/>
    <w:basedOn w:val="Normal"/>
    <w:uiPriority w:val="99"/>
    <w:semiHidden/>
    <w:locked/>
    <w:rsid w:val="00011686"/>
    <w:pPr>
      <w:ind w:left="720"/>
    </w:pPr>
  </w:style>
  <w:style w:type="paragraph" w:styleId="FootnoteText">
    <w:name w:val="footnote text"/>
    <w:basedOn w:val="Normal"/>
    <w:link w:val="FootnoteTextChar"/>
    <w:uiPriority w:val="99"/>
    <w:semiHidden/>
    <w:locked/>
    <w:rsid w:val="00011686"/>
    <w:rPr>
      <w:szCs w:val="20"/>
    </w:rPr>
  </w:style>
  <w:style w:type="character" w:customStyle="1" w:styleId="FootnoteTextChar">
    <w:name w:val="Footnote Text Char"/>
    <w:basedOn w:val="DefaultParagraphFont"/>
    <w:link w:val="FootnoteText"/>
    <w:uiPriority w:val="99"/>
    <w:semiHidden/>
    <w:rsid w:val="00011686"/>
    <w:rPr>
      <w:color w:val="00B050"/>
    </w:rPr>
  </w:style>
  <w:style w:type="paragraph" w:styleId="Caption">
    <w:name w:val="caption"/>
    <w:basedOn w:val="Normal"/>
    <w:next w:val="Normal"/>
    <w:uiPriority w:val="99"/>
    <w:semiHidden/>
    <w:qFormat/>
    <w:locked/>
    <w:rsid w:val="00011686"/>
    <w:rPr>
      <w:b/>
      <w:bCs/>
      <w:sz w:val="18"/>
      <w:szCs w:val="18"/>
    </w:rPr>
  </w:style>
  <w:style w:type="paragraph" w:styleId="TableofFigures">
    <w:name w:val="table of figures"/>
    <w:basedOn w:val="Normal"/>
    <w:next w:val="Normal"/>
    <w:uiPriority w:val="99"/>
    <w:semiHidden/>
    <w:locked/>
    <w:rsid w:val="00011686"/>
    <w:pPr>
      <w:ind w:left="400" w:hanging="400"/>
    </w:pPr>
  </w:style>
  <w:style w:type="paragraph" w:styleId="EnvelopeAddress">
    <w:name w:val="envelope address"/>
    <w:basedOn w:val="Normal"/>
    <w:uiPriority w:val="99"/>
    <w:semiHidden/>
    <w:locked/>
    <w:rsid w:val="00011686"/>
    <w:pPr>
      <w:framePr w:w="7920" w:h="1980" w:hRule="exact" w:hSpace="180" w:wrap="auto" w:hAnchor="page" w:xAlign="center" w:yAlign="bottom"/>
      <w:ind w:left="2880"/>
    </w:pPr>
    <w:rPr>
      <w:rFonts w:cs="Arial"/>
      <w:sz w:val="24"/>
    </w:rPr>
  </w:style>
  <w:style w:type="paragraph" w:styleId="EnvelopeReturn">
    <w:name w:val="envelope return"/>
    <w:basedOn w:val="Normal"/>
    <w:uiPriority w:val="99"/>
    <w:semiHidden/>
    <w:locked/>
    <w:rsid w:val="00011686"/>
    <w:rPr>
      <w:rFonts w:cs="Arial"/>
      <w:szCs w:val="20"/>
    </w:rPr>
  </w:style>
  <w:style w:type="paragraph" w:styleId="EndnoteText">
    <w:name w:val="endnote text"/>
    <w:basedOn w:val="Normal"/>
    <w:link w:val="EndnoteTextChar"/>
    <w:uiPriority w:val="99"/>
    <w:semiHidden/>
    <w:locked/>
    <w:rsid w:val="00011686"/>
    <w:rPr>
      <w:szCs w:val="20"/>
    </w:rPr>
  </w:style>
  <w:style w:type="character" w:customStyle="1" w:styleId="EndnoteTextChar">
    <w:name w:val="Endnote Text Char"/>
    <w:basedOn w:val="DefaultParagraphFont"/>
    <w:link w:val="EndnoteText"/>
    <w:uiPriority w:val="99"/>
    <w:semiHidden/>
    <w:rsid w:val="00011686"/>
    <w:rPr>
      <w:color w:val="00B050"/>
    </w:rPr>
  </w:style>
  <w:style w:type="paragraph" w:styleId="TableofAuthorities">
    <w:name w:val="table of authorities"/>
    <w:basedOn w:val="Normal"/>
    <w:next w:val="Normal"/>
    <w:uiPriority w:val="99"/>
    <w:semiHidden/>
    <w:locked/>
    <w:rsid w:val="00011686"/>
    <w:pPr>
      <w:ind w:left="200" w:hanging="200"/>
    </w:pPr>
  </w:style>
  <w:style w:type="paragraph" w:styleId="MacroText">
    <w:name w:val="macro"/>
    <w:link w:val="MacroTextChar"/>
    <w:uiPriority w:val="99"/>
    <w:semiHidden/>
    <w:locked/>
    <w:rsid w:val="0001168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color w:val="008000"/>
    </w:rPr>
  </w:style>
  <w:style w:type="character" w:customStyle="1" w:styleId="MacroTextChar">
    <w:name w:val="Macro Text Char"/>
    <w:basedOn w:val="DefaultParagraphFont"/>
    <w:link w:val="MacroText"/>
    <w:uiPriority w:val="99"/>
    <w:semiHidden/>
    <w:rsid w:val="00011686"/>
    <w:rPr>
      <w:rFonts w:ascii="Courier New" w:hAnsi="Courier New" w:cs="Courier New"/>
      <w:color w:val="008000"/>
    </w:rPr>
  </w:style>
  <w:style w:type="paragraph" w:styleId="TOAHeading">
    <w:name w:val="toa heading"/>
    <w:basedOn w:val="Normal"/>
    <w:next w:val="Normal"/>
    <w:uiPriority w:val="99"/>
    <w:semiHidden/>
    <w:locked/>
    <w:rsid w:val="00011686"/>
    <w:pPr>
      <w:spacing w:before="120"/>
    </w:pPr>
    <w:rPr>
      <w:rFonts w:cs="Arial"/>
      <w:b/>
      <w:bCs/>
      <w:sz w:val="24"/>
    </w:rPr>
  </w:style>
  <w:style w:type="paragraph" w:styleId="List">
    <w:name w:val="List"/>
    <w:basedOn w:val="Normal"/>
    <w:uiPriority w:val="99"/>
    <w:semiHidden/>
    <w:locked/>
    <w:rsid w:val="00011686"/>
    <w:pPr>
      <w:ind w:left="360" w:hanging="360"/>
    </w:pPr>
  </w:style>
  <w:style w:type="paragraph" w:styleId="ListBullet">
    <w:name w:val="List Bullet"/>
    <w:basedOn w:val="Normal"/>
    <w:uiPriority w:val="99"/>
    <w:semiHidden/>
    <w:locked/>
    <w:rsid w:val="00011686"/>
    <w:pPr>
      <w:tabs>
        <w:tab w:val="num" w:pos="360"/>
      </w:tabs>
      <w:ind w:left="360" w:hanging="360"/>
    </w:pPr>
  </w:style>
  <w:style w:type="paragraph" w:styleId="ListNumber">
    <w:name w:val="List Number"/>
    <w:basedOn w:val="Normal"/>
    <w:uiPriority w:val="99"/>
    <w:semiHidden/>
    <w:locked/>
    <w:rsid w:val="00011686"/>
    <w:pPr>
      <w:tabs>
        <w:tab w:val="num" w:pos="360"/>
      </w:tabs>
      <w:ind w:left="360" w:hanging="360"/>
    </w:pPr>
  </w:style>
  <w:style w:type="paragraph" w:styleId="List2">
    <w:name w:val="List 2"/>
    <w:basedOn w:val="Normal"/>
    <w:uiPriority w:val="99"/>
    <w:semiHidden/>
    <w:locked/>
    <w:rsid w:val="00011686"/>
    <w:pPr>
      <w:ind w:left="720" w:hanging="360"/>
    </w:pPr>
  </w:style>
  <w:style w:type="paragraph" w:styleId="List3">
    <w:name w:val="List 3"/>
    <w:basedOn w:val="Normal"/>
    <w:uiPriority w:val="99"/>
    <w:semiHidden/>
    <w:locked/>
    <w:rsid w:val="00011686"/>
    <w:pPr>
      <w:ind w:left="1080" w:hanging="360"/>
    </w:pPr>
  </w:style>
  <w:style w:type="paragraph" w:styleId="List4">
    <w:name w:val="List 4"/>
    <w:basedOn w:val="Normal"/>
    <w:uiPriority w:val="99"/>
    <w:semiHidden/>
    <w:locked/>
    <w:rsid w:val="00011686"/>
    <w:pPr>
      <w:ind w:left="1440" w:hanging="360"/>
    </w:pPr>
  </w:style>
  <w:style w:type="paragraph" w:styleId="List5">
    <w:name w:val="List 5"/>
    <w:basedOn w:val="Normal"/>
    <w:uiPriority w:val="99"/>
    <w:semiHidden/>
    <w:locked/>
    <w:rsid w:val="00011686"/>
    <w:pPr>
      <w:ind w:left="1800" w:hanging="360"/>
    </w:pPr>
  </w:style>
  <w:style w:type="paragraph" w:styleId="ListBullet2">
    <w:name w:val="List Bullet 2"/>
    <w:basedOn w:val="Normal"/>
    <w:uiPriority w:val="99"/>
    <w:semiHidden/>
    <w:locked/>
    <w:rsid w:val="00011686"/>
    <w:pPr>
      <w:tabs>
        <w:tab w:val="num" w:pos="720"/>
      </w:tabs>
      <w:ind w:left="720" w:hanging="360"/>
    </w:pPr>
  </w:style>
  <w:style w:type="paragraph" w:styleId="ListBullet3">
    <w:name w:val="List Bullet 3"/>
    <w:basedOn w:val="Normal"/>
    <w:uiPriority w:val="99"/>
    <w:semiHidden/>
    <w:locked/>
    <w:rsid w:val="00011686"/>
    <w:pPr>
      <w:tabs>
        <w:tab w:val="num" w:pos="1080"/>
      </w:tabs>
      <w:ind w:left="1080" w:hanging="360"/>
    </w:pPr>
  </w:style>
  <w:style w:type="paragraph" w:styleId="ListBullet4">
    <w:name w:val="List Bullet 4"/>
    <w:basedOn w:val="Normal"/>
    <w:uiPriority w:val="99"/>
    <w:semiHidden/>
    <w:locked/>
    <w:rsid w:val="00011686"/>
    <w:pPr>
      <w:tabs>
        <w:tab w:val="num" w:pos="1440"/>
      </w:tabs>
      <w:ind w:left="1440" w:hanging="360"/>
    </w:pPr>
  </w:style>
  <w:style w:type="paragraph" w:styleId="ListBullet5">
    <w:name w:val="List Bullet 5"/>
    <w:basedOn w:val="Normal"/>
    <w:uiPriority w:val="99"/>
    <w:semiHidden/>
    <w:locked/>
    <w:rsid w:val="00011686"/>
    <w:pPr>
      <w:tabs>
        <w:tab w:val="num" w:pos="1800"/>
      </w:tabs>
      <w:ind w:left="1800" w:hanging="360"/>
    </w:pPr>
  </w:style>
  <w:style w:type="paragraph" w:styleId="ListNumber2">
    <w:name w:val="List Number 2"/>
    <w:basedOn w:val="Normal"/>
    <w:uiPriority w:val="99"/>
    <w:semiHidden/>
    <w:locked/>
    <w:rsid w:val="00011686"/>
    <w:pPr>
      <w:tabs>
        <w:tab w:val="num" w:pos="720"/>
      </w:tabs>
      <w:ind w:left="720" w:hanging="360"/>
    </w:pPr>
  </w:style>
  <w:style w:type="paragraph" w:styleId="ListNumber3">
    <w:name w:val="List Number 3"/>
    <w:basedOn w:val="Normal"/>
    <w:uiPriority w:val="99"/>
    <w:semiHidden/>
    <w:locked/>
    <w:rsid w:val="00011686"/>
    <w:pPr>
      <w:tabs>
        <w:tab w:val="num" w:pos="1080"/>
      </w:tabs>
      <w:ind w:left="1080" w:hanging="360"/>
    </w:pPr>
  </w:style>
  <w:style w:type="paragraph" w:styleId="ListNumber4">
    <w:name w:val="List Number 4"/>
    <w:basedOn w:val="Normal"/>
    <w:uiPriority w:val="99"/>
    <w:semiHidden/>
    <w:locked/>
    <w:rsid w:val="00011686"/>
    <w:pPr>
      <w:tabs>
        <w:tab w:val="num" w:pos="1440"/>
      </w:tabs>
      <w:ind w:left="1440" w:hanging="360"/>
    </w:pPr>
  </w:style>
  <w:style w:type="paragraph" w:styleId="ListNumber5">
    <w:name w:val="List Number 5"/>
    <w:basedOn w:val="Normal"/>
    <w:uiPriority w:val="99"/>
    <w:semiHidden/>
    <w:locked/>
    <w:rsid w:val="00011686"/>
    <w:pPr>
      <w:tabs>
        <w:tab w:val="num" w:pos="1800"/>
      </w:tabs>
      <w:ind w:left="1800" w:hanging="360"/>
    </w:pPr>
  </w:style>
  <w:style w:type="paragraph" w:styleId="Closing">
    <w:name w:val="Closing"/>
    <w:basedOn w:val="Normal"/>
    <w:link w:val="ClosingChar"/>
    <w:uiPriority w:val="99"/>
    <w:semiHidden/>
    <w:locked/>
    <w:rsid w:val="00011686"/>
    <w:pPr>
      <w:ind w:left="4320"/>
    </w:pPr>
  </w:style>
  <w:style w:type="character" w:customStyle="1" w:styleId="ClosingChar">
    <w:name w:val="Closing Char"/>
    <w:basedOn w:val="DefaultParagraphFont"/>
    <w:link w:val="Closing"/>
    <w:uiPriority w:val="99"/>
    <w:semiHidden/>
    <w:rsid w:val="00011686"/>
    <w:rPr>
      <w:color w:val="00B050"/>
      <w:szCs w:val="24"/>
    </w:rPr>
  </w:style>
  <w:style w:type="paragraph" w:styleId="Signature">
    <w:name w:val="Signature"/>
    <w:basedOn w:val="Normal"/>
    <w:link w:val="SignatureChar"/>
    <w:uiPriority w:val="99"/>
    <w:semiHidden/>
    <w:locked/>
    <w:rsid w:val="00011686"/>
    <w:pPr>
      <w:ind w:left="4320"/>
    </w:pPr>
  </w:style>
  <w:style w:type="character" w:customStyle="1" w:styleId="SignatureChar">
    <w:name w:val="Signature Char"/>
    <w:basedOn w:val="DefaultParagraphFont"/>
    <w:link w:val="Signature"/>
    <w:uiPriority w:val="99"/>
    <w:semiHidden/>
    <w:rsid w:val="00011686"/>
    <w:rPr>
      <w:color w:val="00B050"/>
      <w:szCs w:val="24"/>
    </w:rPr>
  </w:style>
  <w:style w:type="paragraph" w:styleId="BodyText">
    <w:name w:val="Body Text"/>
    <w:basedOn w:val="Normal"/>
    <w:link w:val="BodyTextChar"/>
    <w:uiPriority w:val="99"/>
    <w:semiHidden/>
    <w:locked/>
    <w:rsid w:val="00011686"/>
    <w:pPr>
      <w:spacing w:after="120"/>
    </w:pPr>
  </w:style>
  <w:style w:type="character" w:customStyle="1" w:styleId="BodyTextChar">
    <w:name w:val="Body Text Char"/>
    <w:basedOn w:val="DefaultParagraphFont"/>
    <w:link w:val="BodyText"/>
    <w:uiPriority w:val="99"/>
    <w:semiHidden/>
    <w:rsid w:val="00011686"/>
    <w:rPr>
      <w:color w:val="00B050"/>
      <w:szCs w:val="24"/>
    </w:rPr>
  </w:style>
  <w:style w:type="paragraph" w:styleId="BodyTextIndent">
    <w:name w:val="Body Text Indent"/>
    <w:basedOn w:val="Normal"/>
    <w:link w:val="BodyTextIndentChar"/>
    <w:uiPriority w:val="99"/>
    <w:semiHidden/>
    <w:locked/>
    <w:rsid w:val="00011686"/>
    <w:pPr>
      <w:spacing w:after="120"/>
      <w:ind w:left="360"/>
    </w:pPr>
  </w:style>
  <w:style w:type="character" w:customStyle="1" w:styleId="BodyTextIndentChar">
    <w:name w:val="Body Text Indent Char"/>
    <w:basedOn w:val="DefaultParagraphFont"/>
    <w:link w:val="BodyTextIndent"/>
    <w:uiPriority w:val="99"/>
    <w:semiHidden/>
    <w:rsid w:val="00011686"/>
    <w:rPr>
      <w:color w:val="00B050"/>
      <w:szCs w:val="24"/>
    </w:rPr>
  </w:style>
  <w:style w:type="paragraph" w:styleId="ListContinue">
    <w:name w:val="List Continue"/>
    <w:basedOn w:val="Normal"/>
    <w:uiPriority w:val="99"/>
    <w:semiHidden/>
    <w:locked/>
    <w:rsid w:val="00011686"/>
    <w:pPr>
      <w:spacing w:after="120"/>
      <w:ind w:left="360"/>
    </w:pPr>
  </w:style>
  <w:style w:type="paragraph" w:styleId="ListContinue2">
    <w:name w:val="List Continue 2"/>
    <w:basedOn w:val="Normal"/>
    <w:uiPriority w:val="99"/>
    <w:semiHidden/>
    <w:locked/>
    <w:rsid w:val="00011686"/>
    <w:pPr>
      <w:spacing w:after="120"/>
      <w:ind w:left="720"/>
    </w:pPr>
  </w:style>
  <w:style w:type="paragraph" w:styleId="ListContinue3">
    <w:name w:val="List Continue 3"/>
    <w:basedOn w:val="Normal"/>
    <w:uiPriority w:val="99"/>
    <w:semiHidden/>
    <w:locked/>
    <w:rsid w:val="00011686"/>
    <w:pPr>
      <w:spacing w:after="120"/>
      <w:ind w:left="1080"/>
    </w:pPr>
  </w:style>
  <w:style w:type="paragraph" w:styleId="ListContinue4">
    <w:name w:val="List Continue 4"/>
    <w:basedOn w:val="Normal"/>
    <w:uiPriority w:val="99"/>
    <w:semiHidden/>
    <w:locked/>
    <w:rsid w:val="00011686"/>
    <w:pPr>
      <w:spacing w:after="120"/>
      <w:ind w:left="1440"/>
    </w:pPr>
  </w:style>
  <w:style w:type="paragraph" w:styleId="ListContinue5">
    <w:name w:val="List Continue 5"/>
    <w:basedOn w:val="Normal"/>
    <w:uiPriority w:val="99"/>
    <w:semiHidden/>
    <w:locked/>
    <w:rsid w:val="00011686"/>
    <w:pPr>
      <w:spacing w:after="120"/>
      <w:ind w:left="1800"/>
    </w:pPr>
  </w:style>
  <w:style w:type="paragraph" w:styleId="MessageHeader">
    <w:name w:val="Message Header"/>
    <w:basedOn w:val="Normal"/>
    <w:link w:val="MessageHeaderChar"/>
    <w:uiPriority w:val="99"/>
    <w:semiHidden/>
    <w:locked/>
    <w:rsid w:val="00011686"/>
    <w:pPr>
      <w:pBdr>
        <w:top w:val="single" w:sz="6" w:space="1" w:color="auto"/>
        <w:left w:val="single" w:sz="6" w:space="1" w:color="auto"/>
        <w:bottom w:val="single" w:sz="6" w:space="1" w:color="auto"/>
        <w:right w:val="single" w:sz="6" w:space="1" w:color="auto"/>
      </w:pBdr>
      <w:shd w:val="pct20" w:color="auto" w:fill="auto"/>
      <w:ind w:left="1080" w:hanging="1080"/>
    </w:pPr>
    <w:rPr>
      <w:rFonts w:cs="Arial"/>
      <w:sz w:val="24"/>
    </w:rPr>
  </w:style>
  <w:style w:type="character" w:customStyle="1" w:styleId="MessageHeaderChar">
    <w:name w:val="Message Header Char"/>
    <w:basedOn w:val="DefaultParagraphFont"/>
    <w:link w:val="MessageHeader"/>
    <w:uiPriority w:val="99"/>
    <w:semiHidden/>
    <w:rsid w:val="00011686"/>
    <w:rPr>
      <w:rFonts w:cs="Arial"/>
      <w:color w:val="00B050"/>
      <w:sz w:val="24"/>
      <w:szCs w:val="24"/>
      <w:shd w:val="pct20" w:color="auto" w:fill="auto"/>
    </w:rPr>
  </w:style>
  <w:style w:type="paragraph" w:styleId="Subtitle">
    <w:name w:val="Subtitle"/>
    <w:basedOn w:val="Normal"/>
    <w:link w:val="SubtitleChar"/>
    <w:uiPriority w:val="99"/>
    <w:semiHidden/>
    <w:locked/>
    <w:rsid w:val="00011686"/>
    <w:pPr>
      <w:jc w:val="center"/>
      <w:outlineLvl w:val="1"/>
    </w:pPr>
    <w:rPr>
      <w:rFonts w:ascii="Cambria" w:hAnsi="Cambria"/>
      <w:sz w:val="24"/>
    </w:rPr>
  </w:style>
  <w:style w:type="character" w:customStyle="1" w:styleId="SubtitleChar">
    <w:name w:val="Subtitle Char"/>
    <w:basedOn w:val="DefaultParagraphFont"/>
    <w:link w:val="Subtitle"/>
    <w:uiPriority w:val="99"/>
    <w:semiHidden/>
    <w:rsid w:val="00011686"/>
    <w:rPr>
      <w:rFonts w:ascii="Cambria" w:hAnsi="Cambria"/>
      <w:color w:val="00B050"/>
      <w:sz w:val="24"/>
      <w:szCs w:val="24"/>
    </w:rPr>
  </w:style>
  <w:style w:type="paragraph" w:styleId="Salutation">
    <w:name w:val="Salutation"/>
    <w:basedOn w:val="Normal"/>
    <w:next w:val="Normal"/>
    <w:link w:val="SalutationChar"/>
    <w:uiPriority w:val="99"/>
    <w:semiHidden/>
    <w:locked/>
    <w:rsid w:val="00011686"/>
  </w:style>
  <w:style w:type="character" w:customStyle="1" w:styleId="SalutationChar">
    <w:name w:val="Salutation Char"/>
    <w:basedOn w:val="DefaultParagraphFont"/>
    <w:link w:val="Salutation"/>
    <w:uiPriority w:val="99"/>
    <w:semiHidden/>
    <w:rsid w:val="00011686"/>
    <w:rPr>
      <w:color w:val="00B050"/>
      <w:szCs w:val="24"/>
    </w:rPr>
  </w:style>
  <w:style w:type="paragraph" w:styleId="Date">
    <w:name w:val="Date"/>
    <w:basedOn w:val="Normal"/>
    <w:next w:val="Normal"/>
    <w:link w:val="DateChar"/>
    <w:uiPriority w:val="99"/>
    <w:semiHidden/>
    <w:locked/>
    <w:rsid w:val="00011686"/>
  </w:style>
  <w:style w:type="character" w:customStyle="1" w:styleId="DateChar">
    <w:name w:val="Date Char"/>
    <w:basedOn w:val="DefaultParagraphFont"/>
    <w:link w:val="Date"/>
    <w:uiPriority w:val="99"/>
    <w:semiHidden/>
    <w:rsid w:val="00011686"/>
    <w:rPr>
      <w:color w:val="00B050"/>
      <w:szCs w:val="24"/>
    </w:rPr>
  </w:style>
  <w:style w:type="paragraph" w:styleId="BodyTextFirstIndent">
    <w:name w:val="Body Text First Indent"/>
    <w:basedOn w:val="BodyText"/>
    <w:link w:val="BodyTextFirstIndentChar"/>
    <w:uiPriority w:val="99"/>
    <w:semiHidden/>
    <w:locked/>
    <w:rsid w:val="00011686"/>
    <w:pPr>
      <w:ind w:firstLine="210"/>
    </w:pPr>
  </w:style>
  <w:style w:type="character" w:customStyle="1" w:styleId="BodyTextFirstIndentChar">
    <w:name w:val="Body Text First Indent Char"/>
    <w:basedOn w:val="BodyTextChar"/>
    <w:link w:val="BodyTextFirstIndent"/>
    <w:uiPriority w:val="99"/>
    <w:semiHidden/>
    <w:rsid w:val="00011686"/>
    <w:rPr>
      <w:color w:val="00B050"/>
      <w:szCs w:val="24"/>
    </w:rPr>
  </w:style>
  <w:style w:type="paragraph" w:styleId="BodyTextFirstIndent2">
    <w:name w:val="Body Text First Indent 2"/>
    <w:basedOn w:val="BodyTextIndent"/>
    <w:link w:val="BodyTextFirstIndent2Char"/>
    <w:uiPriority w:val="99"/>
    <w:semiHidden/>
    <w:locked/>
    <w:rsid w:val="00011686"/>
    <w:pPr>
      <w:ind w:firstLine="210"/>
    </w:pPr>
  </w:style>
  <w:style w:type="character" w:customStyle="1" w:styleId="BodyTextFirstIndent2Char">
    <w:name w:val="Body Text First Indent 2 Char"/>
    <w:basedOn w:val="BodyTextIndentChar"/>
    <w:link w:val="BodyTextFirstIndent2"/>
    <w:uiPriority w:val="99"/>
    <w:semiHidden/>
    <w:rsid w:val="00011686"/>
    <w:rPr>
      <w:color w:val="00B050"/>
      <w:szCs w:val="24"/>
    </w:rPr>
  </w:style>
  <w:style w:type="paragraph" w:styleId="NoteHeading">
    <w:name w:val="Note Heading"/>
    <w:basedOn w:val="Normal"/>
    <w:next w:val="Normal"/>
    <w:link w:val="NoteHeadingChar"/>
    <w:uiPriority w:val="99"/>
    <w:semiHidden/>
    <w:locked/>
    <w:rsid w:val="00011686"/>
  </w:style>
  <w:style w:type="character" w:customStyle="1" w:styleId="NoteHeadingChar">
    <w:name w:val="Note Heading Char"/>
    <w:basedOn w:val="DefaultParagraphFont"/>
    <w:link w:val="NoteHeading"/>
    <w:uiPriority w:val="99"/>
    <w:semiHidden/>
    <w:rsid w:val="00011686"/>
    <w:rPr>
      <w:color w:val="00B050"/>
      <w:szCs w:val="24"/>
    </w:rPr>
  </w:style>
  <w:style w:type="paragraph" w:styleId="BodyText2">
    <w:name w:val="Body Text 2"/>
    <w:basedOn w:val="Normal"/>
    <w:link w:val="BodyText2Char"/>
    <w:uiPriority w:val="99"/>
    <w:semiHidden/>
    <w:locked/>
    <w:rsid w:val="00011686"/>
    <w:pPr>
      <w:spacing w:after="120" w:line="480" w:lineRule="auto"/>
    </w:pPr>
  </w:style>
  <w:style w:type="character" w:customStyle="1" w:styleId="BodyText2Char">
    <w:name w:val="Body Text 2 Char"/>
    <w:basedOn w:val="DefaultParagraphFont"/>
    <w:link w:val="BodyText2"/>
    <w:uiPriority w:val="99"/>
    <w:semiHidden/>
    <w:rsid w:val="00011686"/>
    <w:rPr>
      <w:color w:val="00B050"/>
      <w:szCs w:val="24"/>
    </w:rPr>
  </w:style>
  <w:style w:type="paragraph" w:styleId="BodyText3">
    <w:name w:val="Body Text 3"/>
    <w:basedOn w:val="Normal"/>
    <w:link w:val="BodyText3Char"/>
    <w:uiPriority w:val="99"/>
    <w:semiHidden/>
    <w:locked/>
    <w:rsid w:val="00011686"/>
    <w:pPr>
      <w:spacing w:after="120"/>
    </w:pPr>
    <w:rPr>
      <w:sz w:val="16"/>
      <w:szCs w:val="16"/>
    </w:rPr>
  </w:style>
  <w:style w:type="character" w:customStyle="1" w:styleId="BodyText3Char">
    <w:name w:val="Body Text 3 Char"/>
    <w:basedOn w:val="DefaultParagraphFont"/>
    <w:link w:val="BodyText3"/>
    <w:uiPriority w:val="99"/>
    <w:semiHidden/>
    <w:rsid w:val="00011686"/>
    <w:rPr>
      <w:color w:val="00B050"/>
      <w:sz w:val="16"/>
      <w:szCs w:val="16"/>
    </w:rPr>
  </w:style>
  <w:style w:type="paragraph" w:styleId="BodyTextIndent2">
    <w:name w:val="Body Text Indent 2"/>
    <w:basedOn w:val="Normal"/>
    <w:link w:val="BodyTextIndent2Char"/>
    <w:uiPriority w:val="99"/>
    <w:semiHidden/>
    <w:locked/>
    <w:rsid w:val="00011686"/>
    <w:pPr>
      <w:spacing w:after="120" w:line="480" w:lineRule="auto"/>
      <w:ind w:left="360"/>
    </w:pPr>
  </w:style>
  <w:style w:type="character" w:customStyle="1" w:styleId="BodyTextIndent2Char">
    <w:name w:val="Body Text Indent 2 Char"/>
    <w:basedOn w:val="DefaultParagraphFont"/>
    <w:link w:val="BodyTextIndent2"/>
    <w:uiPriority w:val="99"/>
    <w:semiHidden/>
    <w:rsid w:val="00011686"/>
    <w:rPr>
      <w:color w:val="00B050"/>
      <w:szCs w:val="24"/>
    </w:rPr>
  </w:style>
  <w:style w:type="paragraph" w:styleId="BodyTextIndent3">
    <w:name w:val="Body Text Indent 3"/>
    <w:basedOn w:val="Normal"/>
    <w:link w:val="BodyTextIndent3Char"/>
    <w:uiPriority w:val="99"/>
    <w:semiHidden/>
    <w:locked/>
    <w:rsid w:val="00011686"/>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011686"/>
    <w:rPr>
      <w:color w:val="00B050"/>
      <w:sz w:val="16"/>
      <w:szCs w:val="16"/>
    </w:rPr>
  </w:style>
  <w:style w:type="paragraph" w:styleId="BlockText">
    <w:name w:val="Block Text"/>
    <w:basedOn w:val="Normal"/>
    <w:uiPriority w:val="99"/>
    <w:semiHidden/>
    <w:locked/>
    <w:rsid w:val="00011686"/>
    <w:pPr>
      <w:spacing w:after="120"/>
      <w:ind w:left="1440" w:right="1440"/>
    </w:pPr>
  </w:style>
  <w:style w:type="character" w:styleId="Strong">
    <w:name w:val="Strong"/>
    <w:basedOn w:val="DefaultParagraphFont"/>
    <w:uiPriority w:val="99"/>
    <w:semiHidden/>
    <w:locked/>
    <w:rsid w:val="00011686"/>
    <w:rPr>
      <w:b/>
      <w:bCs/>
    </w:rPr>
  </w:style>
  <w:style w:type="paragraph" w:styleId="PlainText">
    <w:name w:val="Plain Text"/>
    <w:basedOn w:val="Normal"/>
    <w:link w:val="PlainTextChar"/>
    <w:uiPriority w:val="99"/>
    <w:semiHidden/>
    <w:locked/>
    <w:rsid w:val="00011686"/>
    <w:rPr>
      <w:rFonts w:ascii="Courier New" w:hAnsi="Courier New" w:cs="Courier New"/>
      <w:szCs w:val="20"/>
    </w:rPr>
  </w:style>
  <w:style w:type="character" w:customStyle="1" w:styleId="PlainTextChar">
    <w:name w:val="Plain Text Char"/>
    <w:basedOn w:val="DefaultParagraphFont"/>
    <w:link w:val="PlainText"/>
    <w:uiPriority w:val="99"/>
    <w:semiHidden/>
    <w:rsid w:val="00011686"/>
    <w:rPr>
      <w:rFonts w:ascii="Courier New" w:hAnsi="Courier New" w:cs="Courier New"/>
      <w:color w:val="00B050"/>
    </w:rPr>
  </w:style>
  <w:style w:type="paragraph" w:styleId="E-mailSignature">
    <w:name w:val="E-mail Signature"/>
    <w:basedOn w:val="Normal"/>
    <w:link w:val="E-mailSignatureChar"/>
    <w:uiPriority w:val="99"/>
    <w:semiHidden/>
    <w:locked/>
    <w:rsid w:val="00011686"/>
  </w:style>
  <w:style w:type="character" w:customStyle="1" w:styleId="E-mailSignatureChar">
    <w:name w:val="E-mail Signature Char"/>
    <w:basedOn w:val="DefaultParagraphFont"/>
    <w:link w:val="E-mailSignature"/>
    <w:uiPriority w:val="99"/>
    <w:semiHidden/>
    <w:rsid w:val="00011686"/>
    <w:rPr>
      <w:color w:val="00B050"/>
      <w:szCs w:val="24"/>
    </w:rPr>
  </w:style>
  <w:style w:type="paragraph" w:styleId="NormalWeb">
    <w:name w:val="Normal (Web)"/>
    <w:basedOn w:val="Normal"/>
    <w:uiPriority w:val="99"/>
    <w:semiHidden/>
    <w:locked/>
    <w:rsid w:val="00011686"/>
    <w:rPr>
      <w:rFonts w:ascii="Times New Roman" w:hAnsi="Times New Roman"/>
      <w:sz w:val="24"/>
    </w:rPr>
  </w:style>
  <w:style w:type="paragraph" w:styleId="HTMLAddress">
    <w:name w:val="HTML Address"/>
    <w:basedOn w:val="Normal"/>
    <w:link w:val="HTMLAddressChar"/>
    <w:uiPriority w:val="99"/>
    <w:semiHidden/>
    <w:locked/>
    <w:rsid w:val="00011686"/>
    <w:rPr>
      <w:i/>
      <w:iCs/>
    </w:rPr>
  </w:style>
  <w:style w:type="character" w:customStyle="1" w:styleId="HTMLAddressChar">
    <w:name w:val="HTML Address Char"/>
    <w:basedOn w:val="DefaultParagraphFont"/>
    <w:link w:val="HTMLAddress"/>
    <w:uiPriority w:val="99"/>
    <w:semiHidden/>
    <w:rsid w:val="00011686"/>
    <w:rPr>
      <w:i/>
      <w:iCs/>
      <w:color w:val="00B050"/>
      <w:szCs w:val="24"/>
    </w:rPr>
  </w:style>
  <w:style w:type="paragraph" w:styleId="HTMLPreformatted">
    <w:name w:val="HTML Preformatted"/>
    <w:basedOn w:val="Normal"/>
    <w:link w:val="HTMLPreformattedChar"/>
    <w:uiPriority w:val="99"/>
    <w:semiHidden/>
    <w:locked/>
    <w:rsid w:val="00011686"/>
    <w:rPr>
      <w:rFonts w:ascii="Courier New" w:hAnsi="Courier New" w:cs="Courier New"/>
      <w:szCs w:val="20"/>
    </w:rPr>
  </w:style>
  <w:style w:type="character" w:customStyle="1" w:styleId="HTMLPreformattedChar">
    <w:name w:val="HTML Preformatted Char"/>
    <w:basedOn w:val="DefaultParagraphFont"/>
    <w:link w:val="HTMLPreformatted"/>
    <w:uiPriority w:val="99"/>
    <w:semiHidden/>
    <w:rsid w:val="00011686"/>
    <w:rPr>
      <w:rFonts w:ascii="Courier New" w:hAnsi="Courier New" w:cs="Courier New"/>
      <w:color w:val="00B050"/>
    </w:rPr>
  </w:style>
  <w:style w:type="paragraph" w:styleId="CommentSubject">
    <w:name w:val="annotation subject"/>
    <w:basedOn w:val="CommentText"/>
    <w:next w:val="CommentText"/>
    <w:link w:val="CommentSubjectChar"/>
    <w:uiPriority w:val="99"/>
    <w:semiHidden/>
    <w:locked/>
    <w:rsid w:val="00011686"/>
    <w:rPr>
      <w:b/>
      <w:bCs/>
    </w:rPr>
  </w:style>
  <w:style w:type="character" w:customStyle="1" w:styleId="CommentSubjectChar">
    <w:name w:val="Comment Subject Char"/>
    <w:basedOn w:val="CommentTextChar"/>
    <w:link w:val="CommentSubject"/>
    <w:uiPriority w:val="99"/>
    <w:semiHidden/>
    <w:rsid w:val="00011686"/>
    <w:rPr>
      <w:b/>
      <w:bCs/>
      <w:color w:val="00B050"/>
      <w:szCs w:val="24"/>
    </w:rPr>
  </w:style>
  <w:style w:type="paragraph" w:styleId="BalloonText">
    <w:name w:val="Balloon Text"/>
    <w:basedOn w:val="Normal"/>
    <w:link w:val="BalloonTextChar"/>
    <w:uiPriority w:val="99"/>
    <w:semiHidden/>
    <w:unhideWhenUsed/>
    <w:locked/>
    <w:rsid w:val="00011686"/>
    <w:rPr>
      <w:rFonts w:ascii="Tahoma" w:hAnsi="Tahoma" w:cs="Tahoma"/>
      <w:sz w:val="16"/>
      <w:szCs w:val="16"/>
    </w:rPr>
  </w:style>
  <w:style w:type="character" w:customStyle="1" w:styleId="BalloonTextChar">
    <w:name w:val="Balloon Text Char"/>
    <w:basedOn w:val="DefaultParagraphFont"/>
    <w:link w:val="BalloonText"/>
    <w:uiPriority w:val="99"/>
    <w:semiHidden/>
    <w:rsid w:val="00011686"/>
    <w:rPr>
      <w:rFonts w:ascii="Tahoma" w:hAnsi="Tahoma" w:cs="Tahoma"/>
      <w:color w:val="00B050"/>
      <w:sz w:val="16"/>
      <w:szCs w:val="16"/>
    </w:rPr>
  </w:style>
  <w:style w:type="table" w:styleId="TableGrid">
    <w:name w:val="Table Grid"/>
    <w:basedOn w:val="TableNormal"/>
    <w:uiPriority w:val="59"/>
    <w:locked/>
    <w:rsid w:val="00011686"/>
    <w:pPr>
      <w:jc w:val="center"/>
    </w:pPr>
    <w:rPr>
      <w:sz w:val="18"/>
    </w:rPr>
    <w:tblPr>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29" w:type="dxa"/>
        <w:left w:w="115" w:type="dxa"/>
        <w:bottom w:w="29" w:type="dxa"/>
        <w:right w:w="115" w:type="dxa"/>
      </w:tblCellMar>
    </w:tblPr>
    <w:trPr>
      <w:jc w:val="center"/>
    </w:trPr>
    <w:tcPr>
      <w:vAlign w:val="center"/>
    </w:tcPr>
  </w:style>
  <w:style w:type="character" w:styleId="SubtleEmphasis">
    <w:name w:val="Subtle Emphasis"/>
    <w:basedOn w:val="DefaultParagraphFont"/>
    <w:uiPriority w:val="99"/>
    <w:semiHidden/>
    <w:locked/>
    <w:rsid w:val="00011686"/>
    <w:rPr>
      <w:i/>
      <w:iCs/>
      <w:color w:val="808080"/>
    </w:rPr>
  </w:style>
  <w:style w:type="paragraph" w:styleId="TOCHeading">
    <w:name w:val="TOC Heading"/>
    <w:basedOn w:val="Heading1"/>
    <w:next w:val="Normal"/>
    <w:uiPriority w:val="99"/>
    <w:semiHidden/>
    <w:qFormat/>
    <w:locked/>
    <w:rsid w:val="00011686"/>
    <w:pPr>
      <w:pBdr>
        <w:bottom w:val="single" w:sz="12" w:space="1" w:color="365F91" w:themeColor="accent1" w:themeShade="BF"/>
      </w:pBdr>
      <w:spacing w:before="600" w:after="80"/>
      <w:outlineLvl w:val="9"/>
    </w:pPr>
    <w:rPr>
      <w:color w:val="365F91" w:themeColor="accent1" w:themeShade="BF"/>
      <w:sz w:val="24"/>
    </w:rPr>
  </w:style>
  <w:style w:type="paragraph" w:customStyle="1" w:styleId="AAA">
    <w:name w:val="AAA"/>
    <w:basedOn w:val="Normal"/>
    <w:rsid w:val="00011686"/>
    <w:pPr>
      <w:spacing w:before="0"/>
      <w:ind w:left="288"/>
      <w:jc w:val="center"/>
    </w:pPr>
    <w:rPr>
      <w:b/>
      <w:color w:val="auto"/>
      <w:sz w:val="22"/>
      <w:szCs w:val="20"/>
    </w:rPr>
  </w:style>
  <w:style w:type="paragraph" w:customStyle="1" w:styleId="wiBidItem">
    <w:name w:val="wiBidItem"/>
    <w:basedOn w:val="wiBase"/>
    <w:rsid w:val="00011686"/>
    <w:pPr>
      <w:tabs>
        <w:tab w:val="left" w:pos="2448"/>
        <w:tab w:val="right" w:pos="9648"/>
      </w:tabs>
      <w:spacing w:before="0"/>
      <w:ind w:left="288"/>
    </w:pPr>
    <w:rPr>
      <w:sz w:val="18"/>
    </w:rPr>
  </w:style>
  <w:style w:type="paragraph" w:customStyle="1" w:styleId="wiBidItemHeader">
    <w:name w:val="wiBidItemHeader"/>
    <w:basedOn w:val="wiBase"/>
    <w:next w:val="wiBidItem"/>
    <w:rsid w:val="00011686"/>
    <w:pPr>
      <w:tabs>
        <w:tab w:val="left" w:pos="2448"/>
        <w:tab w:val="right" w:pos="9648"/>
      </w:tabs>
      <w:ind w:left="288"/>
    </w:pPr>
    <w:rPr>
      <w:snapToGrid w:val="0"/>
      <w:sz w:val="18"/>
      <w:u w:val="words"/>
    </w:rPr>
  </w:style>
  <w:style w:type="paragraph" w:customStyle="1" w:styleId="wiTOC1">
    <w:name w:val="wiTOC1"/>
    <w:basedOn w:val="wiBase"/>
    <w:rsid w:val="00011686"/>
    <w:pPr>
      <w:spacing w:before="240"/>
      <w:jc w:val="center"/>
    </w:pPr>
    <w:rPr>
      <w:b/>
      <w:color w:val="0000FF"/>
      <w:sz w:val="24"/>
    </w:rPr>
  </w:style>
  <w:style w:type="paragraph" w:customStyle="1" w:styleId="wiTOC2">
    <w:name w:val="wiTOC2"/>
    <w:basedOn w:val="wiBase"/>
    <w:rsid w:val="00011686"/>
    <w:pPr>
      <w:pBdr>
        <w:top w:val="single" w:sz="4" w:space="1" w:color="auto"/>
        <w:left w:val="single" w:sz="4" w:space="4" w:color="auto"/>
        <w:bottom w:val="single" w:sz="4" w:space="1" w:color="auto"/>
        <w:right w:val="single" w:sz="4" w:space="4" w:color="auto"/>
      </w:pBdr>
      <w:tabs>
        <w:tab w:val="right" w:leader="dot" w:pos="10080"/>
      </w:tabs>
      <w:ind w:left="432" w:right="432"/>
    </w:pPr>
    <w:rPr>
      <w:color w:val="333399"/>
      <w:sz w:val="16"/>
    </w:rPr>
  </w:style>
  <w:style w:type="paragraph" w:customStyle="1" w:styleId="wiTOC4">
    <w:name w:val="wiTOC4"/>
    <w:basedOn w:val="wiBase"/>
    <w:rsid w:val="00011686"/>
    <w:pPr>
      <w:tabs>
        <w:tab w:val="right" w:leader="dot" w:pos="9648"/>
      </w:tabs>
    </w:pPr>
    <w:rPr>
      <w:b/>
      <w:color w:val="0000FF"/>
      <w:sz w:val="18"/>
    </w:rPr>
  </w:style>
  <w:style w:type="paragraph" w:customStyle="1" w:styleId="wiTOC3">
    <w:name w:val="wiTOC3"/>
    <w:basedOn w:val="TOC4"/>
    <w:rsid w:val="00011686"/>
    <w:pPr>
      <w:tabs>
        <w:tab w:val="clear" w:pos="9648"/>
        <w:tab w:val="right" w:leader="dot" w:pos="9216"/>
      </w:tabs>
      <w:ind w:left="432"/>
    </w:pPr>
    <w:rPr>
      <w:sz w:val="20"/>
    </w:rPr>
  </w:style>
  <w:style w:type="paragraph" w:customStyle="1" w:styleId="wiTOCSpace">
    <w:name w:val="wiTOCSpace"/>
    <w:basedOn w:val="wiBase"/>
    <w:next w:val="wiAnnotation"/>
    <w:rsid w:val="00011686"/>
    <w:pPr>
      <w:spacing w:before="0" w:after="0"/>
    </w:pPr>
    <w:rPr>
      <w:color w:val="FFFFFF" w:themeColor="background1"/>
      <w:sz w:val="4"/>
    </w:rPr>
  </w:style>
  <w:style w:type="paragraph" w:customStyle="1" w:styleId="wiTableBuffer">
    <w:name w:val="wiTableBuffer"/>
    <w:basedOn w:val="wiBase"/>
    <w:rsid w:val="00011686"/>
    <w:pPr>
      <w:keepNext/>
      <w:spacing w:before="0" w:after="0"/>
      <w:jc w:val="center"/>
    </w:pPr>
    <w:rPr>
      <w:sz w:val="2"/>
    </w:rPr>
  </w:style>
  <w:style w:type="paragraph" w:styleId="Revision">
    <w:name w:val="Revision"/>
    <w:hidden/>
    <w:uiPriority w:val="99"/>
    <w:semiHidden/>
    <w:rsid w:val="00011686"/>
    <w:rPr>
      <w:color w:val="008000"/>
      <w:szCs w:val="24"/>
    </w:rPr>
  </w:style>
  <w:style w:type="paragraph" w:customStyle="1" w:styleId="wiErrataChange">
    <w:name w:val="wiErrataChange"/>
    <w:basedOn w:val="wiBase"/>
    <w:rsid w:val="00011686"/>
    <w:pPr>
      <w:spacing w:before="120" w:after="0"/>
      <w:ind w:left="288"/>
    </w:pPr>
    <w:rPr>
      <w:b/>
      <w:i/>
    </w:rPr>
  </w:style>
  <w:style w:type="paragraph" w:customStyle="1" w:styleId="wiErrataEntry">
    <w:name w:val="wiErrataEntry"/>
    <w:basedOn w:val="wiBase"/>
    <w:rsid w:val="00011686"/>
    <w:pPr>
      <w:spacing w:before="0"/>
      <w:ind w:left="576"/>
    </w:pPr>
    <w:rPr>
      <w:i/>
    </w:rPr>
  </w:style>
  <w:style w:type="paragraph" w:customStyle="1" w:styleId="wiFigureCaption">
    <w:name w:val="wiFigureCaption"/>
    <w:basedOn w:val="wiBase"/>
    <w:rsid w:val="00011686"/>
    <w:pPr>
      <w:ind w:left="720" w:right="720"/>
    </w:pPr>
    <w:rPr>
      <w:sz w:val="18"/>
    </w:rPr>
  </w:style>
  <w:style w:type="paragraph" w:customStyle="1" w:styleId="wiAttachment">
    <w:name w:val="wiAttachment"/>
    <w:basedOn w:val="wiBase"/>
    <w:rsid w:val="00011686"/>
    <w:pPr>
      <w:widowControl w:val="0"/>
      <w:spacing w:before="0"/>
      <w:ind w:left="1440" w:hanging="1440"/>
    </w:pPr>
  </w:style>
  <w:style w:type="paragraph" w:customStyle="1" w:styleId="wiAttachmentTitle">
    <w:name w:val="wiAttachmentTitle"/>
    <w:basedOn w:val="wiBase"/>
    <w:rsid w:val="00011686"/>
    <w:pPr>
      <w:keepNext/>
      <w:widowControl w:val="0"/>
      <w:spacing w:before="240"/>
    </w:pPr>
    <w:rPr>
      <w:b/>
      <w:bCs/>
      <w:u w:val="single"/>
    </w:rPr>
  </w:style>
  <w:style w:type="paragraph" w:customStyle="1" w:styleId="wiContractual">
    <w:name w:val="wiContractual"/>
    <w:basedOn w:val="wiBase"/>
    <w:rsid w:val="00011686"/>
    <w:pPr>
      <w:widowControl w:val="0"/>
      <w:pBdr>
        <w:top w:val="single" w:sz="4" w:space="1" w:color="auto"/>
        <w:left w:val="single" w:sz="4" w:space="4" w:color="auto"/>
        <w:bottom w:val="single" w:sz="4" w:space="1" w:color="auto"/>
        <w:right w:val="single" w:sz="4" w:space="4" w:color="auto"/>
      </w:pBdr>
      <w:shd w:val="clear" w:color="auto" w:fill="FFCC66"/>
      <w:ind w:left="-720" w:right="-720"/>
    </w:pPr>
    <w:rPr>
      <w:i/>
      <w:sz w:val="18"/>
    </w:rPr>
  </w:style>
  <w:style w:type="paragraph" w:customStyle="1" w:styleId="wiContactualTOC">
    <w:name w:val="wiContactualTOC"/>
    <w:basedOn w:val="wiContractual"/>
    <w:rsid w:val="00011686"/>
    <w:pPr>
      <w:ind w:left="720" w:right="720"/>
    </w:pPr>
  </w:style>
  <w:style w:type="character" w:customStyle="1" w:styleId="UnresolvedMention1">
    <w:name w:val="Unresolved Mention1"/>
    <w:basedOn w:val="DefaultParagraphFont"/>
    <w:uiPriority w:val="99"/>
    <w:semiHidden/>
    <w:unhideWhenUsed/>
    <w:rsid w:val="00011686"/>
    <w:rPr>
      <w:color w:val="808080"/>
      <w:shd w:val="clear" w:color="auto" w:fill="E6E6E6"/>
    </w:rPr>
  </w:style>
  <w:style w:type="table" w:styleId="TableGridLight">
    <w:name w:val="Grid Table Light"/>
    <w:basedOn w:val="TableNormal"/>
    <w:uiPriority w:val="40"/>
    <w:rsid w:val="00011686"/>
    <w:pPr>
      <w:spacing w:before="0" w:after="0"/>
    </w:pPr>
    <w:rPr>
      <w:rFonts w:asciiTheme="minorHAnsi" w:eastAsiaTheme="minorHAnsi" w:hAnsiTheme="minorHAnsi" w:cstheme="minorBidi"/>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5">
    <w:name w:val="Plain Table 5"/>
    <w:basedOn w:val="TableNormal"/>
    <w:uiPriority w:val="45"/>
    <w:rsid w:val="00011686"/>
    <w:pPr>
      <w:spacing w:before="0" w:after="0"/>
    </w:pPr>
    <w:rPr>
      <w:rFonts w:asciiTheme="minorHAnsi" w:eastAsiaTheme="minorHAnsi" w:hAnsiTheme="minorHAnsi" w:cstheme="minorBidi"/>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3">
    <w:name w:val="Plain Table 3"/>
    <w:basedOn w:val="TableNormal"/>
    <w:uiPriority w:val="43"/>
    <w:rsid w:val="00011686"/>
    <w:pPr>
      <w:spacing w:before="0" w:after="0"/>
    </w:pPr>
    <w:rPr>
      <w:rFonts w:asciiTheme="minorHAnsi" w:eastAsiaTheme="minorHAnsi" w:hAnsiTheme="minorHAnsi" w:cstheme="minorBidi"/>
      <w:sz w:val="22"/>
      <w:szCs w:val="22"/>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011686"/>
    <w:pPr>
      <w:spacing w:before="0" w:after="0"/>
    </w:pPr>
    <w:rPr>
      <w:rFonts w:asciiTheme="minorHAnsi" w:eastAsiaTheme="minorHAnsi" w:hAnsiTheme="minorHAnsi" w:cstheme="minorBidi"/>
      <w:sz w:val="22"/>
      <w:szCs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11686"/>
    <w:pPr>
      <w:spacing w:before="0" w:after="0"/>
    </w:pPr>
    <w:rPr>
      <w:rFonts w:asciiTheme="minorHAnsi" w:eastAsiaTheme="minorHAnsi" w:hAnsiTheme="minorHAnsi" w:cstheme="minorBidi"/>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3">
    <w:name w:val="Grid Table 3"/>
    <w:basedOn w:val="TableNormal"/>
    <w:uiPriority w:val="48"/>
    <w:rsid w:val="00011686"/>
    <w:pPr>
      <w:spacing w:before="0" w:after="0"/>
    </w:pPr>
    <w:rPr>
      <w:rFonts w:asciiTheme="minorHAnsi" w:eastAsiaTheme="minorHAnsi" w:hAnsiTheme="minorHAnsi" w:cstheme="minorBidi"/>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PlainTable1">
    <w:name w:val="Plain Table 1"/>
    <w:basedOn w:val="TableNormal"/>
    <w:uiPriority w:val="41"/>
    <w:rsid w:val="00011686"/>
    <w:pPr>
      <w:spacing w:before="0" w:after="0"/>
    </w:pPr>
    <w:rPr>
      <w:rFonts w:asciiTheme="minorHAnsi" w:eastAsiaTheme="minorHAnsi" w:hAnsiTheme="minorHAnsi" w:cstheme="minorBidi"/>
      <w:sz w:val="22"/>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wiContractualEntry">
    <w:name w:val="wiContractualEntry"/>
    <w:basedOn w:val="wiContactualTOC"/>
    <w:rsid w:val="00011686"/>
    <w:pPr>
      <w:tabs>
        <w:tab w:val="left" w:pos="1440"/>
        <w:tab w:val="right" w:leader="dot" w:pos="8640"/>
      </w:tabs>
    </w:pPr>
  </w:style>
  <w:style w:type="paragraph" w:customStyle="1" w:styleId="wiTableHeader">
    <w:name w:val="wiTableHeader"/>
    <w:basedOn w:val="wiTableTitle"/>
    <w:next w:val="Normal"/>
    <w:rsid w:val="00011686"/>
  </w:style>
  <w:style w:type="character" w:customStyle="1" w:styleId="wiExLink">
    <w:name w:val="wiExLink"/>
    <w:rsid w:val="00011686"/>
    <w:rPr>
      <w:color w:val="005000"/>
      <w:u w:val="single"/>
    </w:rPr>
  </w:style>
  <w:style w:type="paragraph" w:customStyle="1" w:styleId="wiExampleBody">
    <w:name w:val="wiExampleBody"/>
    <w:basedOn w:val="wiBase"/>
    <w:rsid w:val="00011686"/>
    <w:pPr>
      <w:widowControl w:val="0"/>
      <w:pBdr>
        <w:top w:val="single" w:sz="4" w:space="1" w:color="auto"/>
        <w:left w:val="single" w:sz="4" w:space="4" w:color="auto"/>
        <w:bottom w:val="single" w:sz="4" w:space="1" w:color="auto"/>
        <w:right w:val="single" w:sz="4" w:space="4" w:color="auto"/>
      </w:pBdr>
      <w:spacing w:before="20" w:after="20"/>
      <w:ind w:left="720" w:right="864" w:hanging="288"/>
    </w:pPr>
  </w:style>
  <w:style w:type="paragraph" w:customStyle="1" w:styleId="wiExampleEq">
    <w:name w:val="wiExampleEq"/>
    <w:basedOn w:val="wiBase"/>
    <w:rsid w:val="00011686"/>
    <w:pPr>
      <w:widowControl w:val="0"/>
      <w:ind w:left="432" w:right="864"/>
      <w:jc w:val="center"/>
    </w:pPr>
    <w:rPr>
      <w:rFonts w:cs="Arial"/>
      <w:sz w:val="18"/>
    </w:rPr>
  </w:style>
  <w:style w:type="paragraph" w:customStyle="1" w:styleId="wiExampleHead">
    <w:name w:val="wiExampleHead"/>
    <w:basedOn w:val="wiBase"/>
    <w:next w:val="wiExampleBody"/>
    <w:rsid w:val="00011686"/>
    <w:pPr>
      <w:widowControl w:val="0"/>
      <w:ind w:left="432"/>
    </w:pPr>
    <w:rPr>
      <w:color w:val="1F497D" w:themeColor="text2"/>
      <w:u w:val="single"/>
    </w:rPr>
  </w:style>
  <w:style w:type="paragraph" w:customStyle="1" w:styleId="wiFootnote">
    <w:name w:val="wiFootnote"/>
    <w:basedOn w:val="wiBase"/>
    <w:rsid w:val="00011686"/>
    <w:pPr>
      <w:tabs>
        <w:tab w:val="right" w:pos="432"/>
        <w:tab w:val="left" w:pos="576"/>
      </w:tabs>
      <w:ind w:left="576" w:hanging="576"/>
    </w:pPr>
    <w:rPr>
      <w:sz w:val="18"/>
    </w:rPr>
  </w:style>
  <w:style w:type="character" w:customStyle="1" w:styleId="wiIgnore">
    <w:name w:val="wiIgnore"/>
    <w:basedOn w:val="DefaultParagraphFont"/>
    <w:rsid w:val="00011686"/>
    <w:rPr>
      <w:color w:val="1F497D" w:themeColor="text2"/>
    </w:rPr>
  </w:style>
  <w:style w:type="paragraph" w:customStyle="1" w:styleId="wiImage">
    <w:name w:val="wiImage"/>
    <w:basedOn w:val="wiBase"/>
    <w:next w:val="wiFigureCaption"/>
    <w:rsid w:val="00011686"/>
    <w:pPr>
      <w:keepNext/>
      <w:widowControl w:val="0"/>
      <w:spacing w:before="0" w:after="0"/>
      <w:jc w:val="center"/>
    </w:pPr>
    <w:rPr>
      <w:color w:val="C0C0C0"/>
    </w:rPr>
  </w:style>
  <w:style w:type="character" w:customStyle="1" w:styleId="wiLink">
    <w:name w:val="wiLink"/>
    <w:basedOn w:val="DefaultParagraphFont"/>
    <w:rsid w:val="00011686"/>
    <w:rPr>
      <w:color w:val="0000FF"/>
      <w:u w:val="single"/>
    </w:rPr>
  </w:style>
  <w:style w:type="character" w:customStyle="1" w:styleId="wiLinkGeneric">
    <w:name w:val="wiLinkGeneric"/>
    <w:basedOn w:val="DefaultParagraphFont"/>
    <w:rsid w:val="00011686"/>
    <w:rPr>
      <w:color w:val="0000FF"/>
    </w:rPr>
  </w:style>
  <w:style w:type="character" w:customStyle="1" w:styleId="wiLinkGenericTarget">
    <w:name w:val="wiLinkGenericTarget"/>
    <w:basedOn w:val="DefaultParagraphFont"/>
    <w:rsid w:val="00011686"/>
  </w:style>
  <w:style w:type="paragraph" w:customStyle="1" w:styleId="Default">
    <w:name w:val="Default"/>
    <w:uiPriority w:val="99"/>
    <w:semiHidden/>
    <w:locked/>
    <w:rsid w:val="00011686"/>
    <w:pPr>
      <w:autoSpaceDE w:val="0"/>
      <w:autoSpaceDN w:val="0"/>
      <w:adjustRightInd w:val="0"/>
    </w:pPr>
    <w:rPr>
      <w:rFonts w:cs="Arial"/>
      <w:color w:val="000000"/>
      <w:sz w:val="24"/>
      <w:szCs w:val="24"/>
    </w:rPr>
  </w:style>
  <w:style w:type="paragraph" w:customStyle="1" w:styleId="wiStep">
    <w:name w:val="wiStep"/>
    <w:basedOn w:val="wiBase"/>
    <w:rsid w:val="00011686"/>
    <w:pPr>
      <w:widowControl w:val="0"/>
      <w:tabs>
        <w:tab w:val="right" w:pos="864"/>
        <w:tab w:val="left" w:pos="1008"/>
      </w:tabs>
      <w:ind w:left="1008" w:hanging="1008"/>
    </w:pPr>
    <w:rPr>
      <w:bCs/>
    </w:rPr>
  </w:style>
  <w:style w:type="paragraph" w:customStyle="1" w:styleId="wiStepBullet">
    <w:name w:val="wiStepBullet"/>
    <w:basedOn w:val="wiStep"/>
    <w:rsid w:val="00011686"/>
    <w:pPr>
      <w:tabs>
        <w:tab w:val="clear" w:pos="864"/>
        <w:tab w:val="clear" w:pos="1008"/>
        <w:tab w:val="left" w:pos="1296"/>
      </w:tabs>
      <w:ind w:left="1296" w:hanging="288"/>
    </w:pPr>
  </w:style>
  <w:style w:type="paragraph" w:customStyle="1" w:styleId="wiStepContinuation">
    <w:name w:val="wiStepContinuation"/>
    <w:basedOn w:val="wiStep"/>
    <w:rsid w:val="00011686"/>
    <w:pPr>
      <w:tabs>
        <w:tab w:val="clear" w:pos="864"/>
        <w:tab w:val="clear" w:pos="1008"/>
      </w:tabs>
      <w:ind w:firstLine="0"/>
    </w:pPr>
  </w:style>
  <w:style w:type="paragraph" w:customStyle="1" w:styleId="wiTOCPart">
    <w:name w:val="wiTOCPart"/>
    <w:basedOn w:val="wiPart"/>
    <w:next w:val="TOC4"/>
    <w:rsid w:val="00011686"/>
    <w:pPr>
      <w:spacing w:before="2000" w:after="600"/>
    </w:pPr>
  </w:style>
  <w:style w:type="paragraph" w:customStyle="1" w:styleId="wiHeader">
    <w:name w:val="wiHeader"/>
    <w:basedOn w:val="wiBase"/>
    <w:rsid w:val="00011686"/>
    <w:pPr>
      <w:tabs>
        <w:tab w:val="right" w:pos="10080"/>
      </w:tabs>
      <w:ind w:left="-432" w:right="-432"/>
    </w:pPr>
    <w:rPr>
      <w:sz w:val="16"/>
    </w:rPr>
  </w:style>
  <w:style w:type="paragraph" w:customStyle="1" w:styleId="wiFooter">
    <w:name w:val="wiFooter"/>
    <w:basedOn w:val="wiHeader"/>
    <w:rsid w:val="00011686"/>
    <w:pPr>
      <w:tabs>
        <w:tab w:val="center" w:pos="5040"/>
      </w:tabs>
    </w:pPr>
  </w:style>
  <w:style w:type="paragraph" w:customStyle="1" w:styleId="wiIndex1">
    <w:name w:val="wiIndex1"/>
    <w:basedOn w:val="Index1"/>
    <w:rsid w:val="00011686"/>
    <w:rPr>
      <w:color w:val="auto"/>
    </w:rPr>
  </w:style>
  <w:style w:type="paragraph" w:customStyle="1" w:styleId="wiIndex2">
    <w:name w:val="wiIndex2"/>
    <w:basedOn w:val="wiIndex1"/>
    <w:rsid w:val="00011686"/>
    <w:pPr>
      <w:ind w:left="1440" w:firstLine="0"/>
    </w:pPr>
  </w:style>
  <w:style w:type="paragraph" w:customStyle="1" w:styleId="wiIndexHeading">
    <w:name w:val="wiIndexHeading"/>
    <w:basedOn w:val="wiBase"/>
    <w:next w:val="wiIndex1"/>
    <w:rsid w:val="00011686"/>
    <w:pPr>
      <w:keepNext/>
      <w:jc w:val="center"/>
    </w:pPr>
    <w:rPr>
      <w:b/>
      <w:u w:val="words"/>
    </w:rPr>
  </w:style>
  <w:style w:type="paragraph" w:customStyle="1" w:styleId="wiBullet2">
    <w:name w:val="wiBullet2"/>
    <w:basedOn w:val="wiBullet1"/>
    <w:rsid w:val="00011686"/>
    <w:pPr>
      <w:widowControl w:val="0"/>
      <w:tabs>
        <w:tab w:val="clear" w:pos="1152"/>
        <w:tab w:val="left" w:pos="1584"/>
      </w:tabs>
      <w:ind w:left="1296"/>
    </w:pPr>
  </w:style>
  <w:style w:type="paragraph" w:customStyle="1" w:styleId="wiBullet3">
    <w:name w:val="wiBullet3"/>
    <w:basedOn w:val="wiBullet1"/>
    <w:rsid w:val="00011686"/>
    <w:pPr>
      <w:tabs>
        <w:tab w:val="clear" w:pos="1152"/>
        <w:tab w:val="left" w:pos="2016"/>
      </w:tabs>
      <w:ind w:left="1728"/>
    </w:pPr>
  </w:style>
  <w:style w:type="paragraph" w:customStyle="1" w:styleId="wiTableUndefined">
    <w:name w:val="wiTableUndefined"/>
    <w:basedOn w:val="wiUndefined"/>
    <w:rsid w:val="00011686"/>
    <w:pPr>
      <w:keepNext/>
      <w:spacing w:before="40" w:after="40"/>
      <w:jc w:val="center"/>
    </w:pPr>
    <w:rPr>
      <w:color w:val="auto"/>
      <w:sz w:val="18"/>
    </w:rPr>
  </w:style>
  <w:style w:type="paragraph" w:customStyle="1" w:styleId="ssHeader">
    <w:name w:val="ssHeader"/>
    <w:basedOn w:val="Normal"/>
    <w:uiPriority w:val="1"/>
    <w:rsid w:val="00011686"/>
    <w:pPr>
      <w:tabs>
        <w:tab w:val="right" w:pos="10080"/>
      </w:tabs>
      <w:ind w:left="-432" w:right="-432"/>
    </w:pPr>
    <w:rPr>
      <w:color w:val="auto"/>
      <w:sz w:val="16"/>
      <w:szCs w:val="20"/>
    </w:rPr>
  </w:style>
  <w:style w:type="paragraph" w:customStyle="1" w:styleId="wiUndefined9pt">
    <w:name w:val="wiUndefined9pt"/>
    <w:basedOn w:val="wiUndefined"/>
    <w:rsid w:val="00011686"/>
    <w:rPr>
      <w:color w:val="auto"/>
      <w:sz w:val="18"/>
    </w:rPr>
  </w:style>
  <w:style w:type="paragraph" w:customStyle="1" w:styleId="wiFigureTitle">
    <w:name w:val="wiFigureTitle"/>
    <w:basedOn w:val="wiBase"/>
    <w:next w:val="wiImage"/>
    <w:rsid w:val="00011686"/>
    <w:pPr>
      <w:keepNext/>
      <w:widowControl w:val="0"/>
      <w:spacing w:before="180"/>
      <w:jc w:val="center"/>
    </w:pPr>
    <w:rPr>
      <w:b/>
      <w:sz w:val="18"/>
    </w:rPr>
  </w:style>
  <w:style w:type="paragraph" w:customStyle="1" w:styleId="ALL">
    <w:name w:val="ALL"/>
    <w:basedOn w:val="wiBase"/>
    <w:uiPriority w:val="99"/>
    <w:rsid w:val="00011686"/>
  </w:style>
  <w:style w:type="paragraph" w:customStyle="1" w:styleId="wiAnnotationA">
    <w:name w:val="wiAnnotationA"/>
    <w:basedOn w:val="wiAnnotation"/>
    <w:next w:val="wiParagraph"/>
    <w:uiPriority w:val="99"/>
    <w:rsid w:val="00011686"/>
  </w:style>
  <w:style w:type="character" w:styleId="UnresolvedMention">
    <w:name w:val="Unresolved Mention"/>
    <w:basedOn w:val="DefaultParagraphFont"/>
    <w:uiPriority w:val="99"/>
    <w:semiHidden/>
    <w:rsid w:val="00631DFD"/>
    <w:rPr>
      <w:color w:val="808080"/>
      <w:shd w:val="clear" w:color="auto" w:fill="E6E6E6"/>
    </w:rPr>
  </w:style>
  <w:style w:type="paragraph" w:styleId="ListParagraph">
    <w:name w:val="List Paragraph"/>
    <w:basedOn w:val="Normal"/>
    <w:uiPriority w:val="99"/>
    <w:semiHidden/>
    <w:locked/>
    <w:rsid w:val="00631DFD"/>
    <w:pPr>
      <w:numPr>
        <w:numId w:val="13"/>
      </w:numPr>
    </w:pPr>
  </w:style>
  <w:style w:type="paragraph" w:styleId="NoSpacing">
    <w:name w:val="No Spacing"/>
    <w:uiPriority w:val="99"/>
    <w:semiHidden/>
    <w:locked/>
    <w:rsid w:val="00631DFD"/>
    <w:pPr>
      <w:spacing w:before="0" w:after="0"/>
    </w:pPr>
    <w:rPr>
      <w:rFonts w:eastAsiaTheme="minorHAnsi" w:cstheme="minorBidi"/>
    </w:rPr>
  </w:style>
  <w:style w:type="numbering" w:customStyle="1" w:styleId="NumList">
    <w:name w:val="NumList"/>
    <w:uiPriority w:val="99"/>
    <w:rsid w:val="00631DFD"/>
    <w:pPr>
      <w:numPr>
        <w:numId w:val="17"/>
      </w:numPr>
    </w:pPr>
  </w:style>
  <w:style w:type="numbering" w:customStyle="1" w:styleId="OrderedList">
    <w:name w:val="OrderedList"/>
    <w:uiPriority w:val="99"/>
    <w:rsid w:val="00631DFD"/>
    <w:pPr>
      <w:numPr>
        <w:numId w:val="18"/>
      </w:numPr>
    </w:pPr>
  </w:style>
  <w:style w:type="paragraph" w:customStyle="1" w:styleId="wiBox">
    <w:name w:val="wiBox"/>
    <w:basedOn w:val="wiBase"/>
    <w:rsid w:val="00631DFD"/>
    <w:pPr>
      <w:pBdr>
        <w:top w:val="single" w:sz="4" w:space="1" w:color="auto"/>
        <w:left w:val="single" w:sz="4" w:space="4" w:color="auto"/>
        <w:bottom w:val="single" w:sz="4" w:space="1" w:color="auto"/>
        <w:right w:val="single" w:sz="4" w:space="4" w:color="auto"/>
      </w:pBdr>
    </w:pPr>
    <w:rPr>
      <w:sz w:val="18"/>
    </w:rPr>
  </w:style>
  <w:style w:type="paragraph" w:customStyle="1" w:styleId="wiNumList2Bullet">
    <w:name w:val="wiNumList2Bullet"/>
    <w:basedOn w:val="wiNumList2"/>
    <w:rsid w:val="00631DFD"/>
    <w:pPr>
      <w:tabs>
        <w:tab w:val="left" w:pos="2016"/>
      </w:tabs>
      <w:spacing w:before="0"/>
      <w:ind w:left="2016" w:hanging="216"/>
    </w:pPr>
  </w:style>
  <w:style w:type="character" w:customStyle="1" w:styleId="wiFutureSelfLink">
    <w:name w:val="wiFutureSelfLink"/>
    <w:basedOn w:val="wiFutureLink"/>
    <w:uiPriority w:val="1"/>
    <w:rsid w:val="00011686"/>
    <w:rPr>
      <w:color w:val="00B050"/>
      <w:u w:val="single"/>
    </w:rPr>
  </w:style>
  <w:style w:type="character" w:customStyle="1" w:styleId="wiFutureTOCLink">
    <w:name w:val="wiFutureTOCLink"/>
    <w:basedOn w:val="wiFutureLink"/>
    <w:rsid w:val="00631DFD"/>
    <w:rPr>
      <w:color w:val="C00000"/>
      <w:u w:val="single"/>
    </w:rPr>
  </w:style>
  <w:style w:type="paragraph" w:customStyle="1" w:styleId="wiAnnotationB">
    <w:name w:val="wiAnnotationB"/>
    <w:basedOn w:val="wiAnnotationA"/>
    <w:rsid w:val="00631DFD"/>
  </w:style>
  <w:style w:type="character" w:customStyle="1" w:styleId="wiFutureBidItemLink">
    <w:name w:val="wiFutureBidItemLink"/>
    <w:basedOn w:val="wiFutureLink"/>
    <w:rsid w:val="00631DFD"/>
    <w:rPr>
      <w:color w:val="7030A0"/>
      <w:u w:val="single"/>
    </w:rPr>
  </w:style>
  <w:style w:type="paragraph" w:customStyle="1" w:styleId="wiNote">
    <w:name w:val="wiNote"/>
    <w:basedOn w:val="wiBase"/>
    <w:next w:val="Normal"/>
    <w:rsid w:val="00631DFD"/>
    <w:pPr>
      <w:widowControl w:val="0"/>
      <w:ind w:left="-72" w:hanging="504"/>
    </w:pPr>
    <w:rPr>
      <w:iCs/>
    </w:rPr>
  </w:style>
  <w:style w:type="paragraph" w:customStyle="1" w:styleId="gsEndOfSectionsStyle">
    <w:name w:val="gsEndOfSectionsStyle"/>
    <w:basedOn w:val="wiHeadingMisc1"/>
    <w:rsid w:val="00631DFD"/>
  </w:style>
  <w:style w:type="character" w:customStyle="1" w:styleId="wiFutureWebLink">
    <w:name w:val="wiFutureWebLink"/>
    <w:basedOn w:val="wiFutureLink"/>
    <w:uiPriority w:val="1"/>
    <w:rsid w:val="00011686"/>
    <w:rPr>
      <w:color w:val="00B050"/>
      <w:u w:val="single"/>
    </w:rPr>
  </w:style>
  <w:style w:type="paragraph" w:customStyle="1" w:styleId="wiTitle2">
    <w:name w:val="wiTitle2"/>
    <w:basedOn w:val="wiUndefined"/>
    <w:uiPriority w:val="99"/>
    <w:rsid w:val="00631DFD"/>
    <w:pPr>
      <w:jc w:val="center"/>
    </w:pPr>
    <w:rPr>
      <w:b/>
      <w:bCs/>
      <w:sz w:val="24"/>
      <w:szCs w:val="24"/>
    </w:rPr>
  </w:style>
  <w:style w:type="paragraph" w:customStyle="1" w:styleId="wiTitle1">
    <w:name w:val="wiTitle1"/>
    <w:basedOn w:val="wiUndefined"/>
    <w:uiPriority w:val="99"/>
    <w:rsid w:val="00631DFD"/>
    <w:pPr>
      <w:spacing w:before="960" w:after="360"/>
      <w:jc w:val="center"/>
    </w:pPr>
    <w:rPr>
      <w:sz w:val="72"/>
      <w:szCs w:val="72"/>
    </w:rPr>
  </w:style>
  <w:style w:type="paragraph" w:customStyle="1" w:styleId="wiBookTitle">
    <w:name w:val="wiBookTitle"/>
    <w:basedOn w:val="wiUndefined"/>
    <w:uiPriority w:val="99"/>
    <w:rsid w:val="00011686"/>
    <w:pPr>
      <w:jc w:val="center"/>
    </w:pPr>
    <w:rPr>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973005">
      <w:bodyDiv w:val="1"/>
      <w:marLeft w:val="0"/>
      <w:marRight w:val="0"/>
      <w:marTop w:val="0"/>
      <w:marBottom w:val="0"/>
      <w:divBdr>
        <w:top w:val="none" w:sz="0" w:space="0" w:color="auto"/>
        <w:left w:val="none" w:sz="0" w:space="0" w:color="auto"/>
        <w:bottom w:val="none" w:sz="0" w:space="0" w:color="auto"/>
        <w:right w:val="none" w:sz="0" w:space="0" w:color="auto"/>
      </w:divBdr>
    </w:div>
    <w:div w:id="276986316">
      <w:bodyDiv w:val="1"/>
      <w:marLeft w:val="0"/>
      <w:marRight w:val="0"/>
      <w:marTop w:val="0"/>
      <w:marBottom w:val="0"/>
      <w:divBdr>
        <w:top w:val="none" w:sz="0" w:space="0" w:color="auto"/>
        <w:left w:val="none" w:sz="0" w:space="0" w:color="auto"/>
        <w:bottom w:val="none" w:sz="0" w:space="0" w:color="auto"/>
        <w:right w:val="none" w:sz="0" w:space="0" w:color="auto"/>
      </w:divBdr>
    </w:div>
    <w:div w:id="314259661">
      <w:bodyDiv w:val="1"/>
      <w:marLeft w:val="0"/>
      <w:marRight w:val="0"/>
      <w:marTop w:val="0"/>
      <w:marBottom w:val="0"/>
      <w:divBdr>
        <w:top w:val="none" w:sz="0" w:space="0" w:color="auto"/>
        <w:left w:val="none" w:sz="0" w:space="0" w:color="auto"/>
        <w:bottom w:val="none" w:sz="0" w:space="0" w:color="auto"/>
        <w:right w:val="none" w:sz="0" w:space="0" w:color="auto"/>
      </w:divBdr>
    </w:div>
    <w:div w:id="467818698">
      <w:bodyDiv w:val="1"/>
      <w:marLeft w:val="0"/>
      <w:marRight w:val="0"/>
      <w:marTop w:val="0"/>
      <w:marBottom w:val="0"/>
      <w:divBdr>
        <w:top w:val="none" w:sz="0" w:space="0" w:color="auto"/>
        <w:left w:val="none" w:sz="0" w:space="0" w:color="auto"/>
        <w:bottom w:val="none" w:sz="0" w:space="0" w:color="auto"/>
        <w:right w:val="none" w:sz="0" w:space="0" w:color="auto"/>
      </w:divBdr>
    </w:div>
    <w:div w:id="823400227">
      <w:bodyDiv w:val="1"/>
      <w:marLeft w:val="0"/>
      <w:marRight w:val="0"/>
      <w:marTop w:val="0"/>
      <w:marBottom w:val="0"/>
      <w:divBdr>
        <w:top w:val="none" w:sz="0" w:space="0" w:color="auto"/>
        <w:left w:val="none" w:sz="0" w:space="0" w:color="auto"/>
        <w:bottom w:val="none" w:sz="0" w:space="0" w:color="auto"/>
        <w:right w:val="none" w:sz="0" w:space="0" w:color="auto"/>
      </w:divBdr>
    </w:div>
    <w:div w:id="896747430">
      <w:bodyDiv w:val="1"/>
      <w:marLeft w:val="0"/>
      <w:marRight w:val="0"/>
      <w:marTop w:val="0"/>
      <w:marBottom w:val="0"/>
      <w:divBdr>
        <w:top w:val="none" w:sz="0" w:space="0" w:color="auto"/>
        <w:left w:val="none" w:sz="0" w:space="0" w:color="auto"/>
        <w:bottom w:val="none" w:sz="0" w:space="0" w:color="auto"/>
        <w:right w:val="none" w:sz="0" w:space="0" w:color="auto"/>
      </w:divBdr>
    </w:div>
    <w:div w:id="1444569959">
      <w:bodyDiv w:val="1"/>
      <w:marLeft w:val="0"/>
      <w:marRight w:val="0"/>
      <w:marTop w:val="0"/>
      <w:marBottom w:val="0"/>
      <w:divBdr>
        <w:top w:val="none" w:sz="0" w:space="0" w:color="auto"/>
        <w:left w:val="none" w:sz="0" w:space="0" w:color="auto"/>
        <w:bottom w:val="none" w:sz="0" w:space="0" w:color="auto"/>
        <w:right w:val="none" w:sz="0" w:space="0" w:color="auto"/>
      </w:divBdr>
    </w:div>
    <w:div w:id="1653095661">
      <w:bodyDiv w:val="1"/>
      <w:marLeft w:val="0"/>
      <w:marRight w:val="0"/>
      <w:marTop w:val="0"/>
      <w:marBottom w:val="0"/>
      <w:divBdr>
        <w:top w:val="none" w:sz="0" w:space="0" w:color="auto"/>
        <w:left w:val="none" w:sz="0" w:space="0" w:color="auto"/>
        <w:bottom w:val="none" w:sz="0" w:space="0" w:color="auto"/>
        <w:right w:val="none" w:sz="0" w:space="0" w:color="auto"/>
      </w:divBdr>
    </w:div>
    <w:div w:id="1718434518">
      <w:bodyDiv w:val="1"/>
      <w:marLeft w:val="0"/>
      <w:marRight w:val="0"/>
      <w:marTop w:val="0"/>
      <w:marBottom w:val="0"/>
      <w:divBdr>
        <w:top w:val="none" w:sz="0" w:space="0" w:color="auto"/>
        <w:left w:val="none" w:sz="0" w:space="0" w:color="auto"/>
        <w:bottom w:val="none" w:sz="0" w:space="0" w:color="auto"/>
        <w:right w:val="none" w:sz="0" w:space="0" w:color="auto"/>
      </w:divBdr>
    </w:div>
    <w:div w:id="2060472254">
      <w:bodyDiv w:val="1"/>
      <w:marLeft w:val="0"/>
      <w:marRight w:val="0"/>
      <w:marTop w:val="0"/>
      <w:marBottom w:val="0"/>
      <w:divBdr>
        <w:top w:val="none" w:sz="0" w:space="0" w:color="auto"/>
        <w:left w:val="none" w:sz="0" w:space="0" w:color="auto"/>
        <w:bottom w:val="none" w:sz="0" w:space="0" w:color="auto"/>
        <w:right w:val="none" w:sz="0" w:space="0" w:color="auto"/>
      </w:divBdr>
    </w:div>
    <w:div w:id="2070103585">
      <w:bodyDiv w:val="1"/>
      <w:marLeft w:val="0"/>
      <w:marRight w:val="0"/>
      <w:marTop w:val="0"/>
      <w:marBottom w:val="0"/>
      <w:divBdr>
        <w:top w:val="none" w:sz="0" w:space="0" w:color="auto"/>
        <w:left w:val="none" w:sz="0" w:space="0" w:color="auto"/>
        <w:bottom w:val="none" w:sz="0" w:space="0" w:color="auto"/>
        <w:right w:val="none" w:sz="0" w:space="0" w:color="auto"/>
      </w:divBdr>
    </w:div>
    <w:div w:id="2083942266">
      <w:bodyDiv w:val="1"/>
      <w:marLeft w:val="0"/>
      <w:marRight w:val="0"/>
      <w:marTop w:val="0"/>
      <w:marBottom w:val="0"/>
      <w:divBdr>
        <w:top w:val="none" w:sz="0" w:space="0" w:color="auto"/>
        <w:left w:val="none" w:sz="0" w:space="0" w:color="auto"/>
        <w:bottom w:val="none" w:sz="0" w:space="0" w:color="auto"/>
        <w:right w:val="none" w:sz="0" w:space="0" w:color="auto"/>
      </w:divBdr>
    </w:div>
    <w:div w:id="2125466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sDOT\Martemis\stndspec\_utilityFiles\templates\wiSpec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EA7732-9109-4D9A-9503-0D5640282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wiSpecTemplate.dotm</Template>
  <TotalTime>21</TotalTime>
  <Pages>14</Pages>
  <Words>6770</Words>
  <Characters>38595</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2021 standard spec</vt:lpstr>
    </vt:vector>
  </TitlesOfParts>
  <Company>Wisconsin Department of Transportation</Company>
  <LinksUpToDate>false</LinksUpToDate>
  <CharactersWithSpaces>45275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 standard spec</dc:title>
  <dc:subject/>
  <dc:creator>dloryan 2007</dc:creator>
  <cp:keywords/>
  <dc:description/>
  <cp:lastModifiedBy>Zander, Mark - DOT</cp:lastModifiedBy>
  <cp:revision>7</cp:revision>
  <cp:lastPrinted>2019-02-28T16:42:00Z</cp:lastPrinted>
  <dcterms:created xsi:type="dcterms:W3CDTF">2024-01-05T20:02:00Z</dcterms:created>
  <dcterms:modified xsi:type="dcterms:W3CDTF">2024-03-14T21:30:00Z</dcterms:modified>
</cp:coreProperties>
</file>