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FC" w:rsidRDefault="00C61CFC" w:rsidP="00022D3F">
      <w:pPr>
        <w:spacing w:after="0" w:line="240" w:lineRule="auto"/>
        <w:ind w:left="-432" w:right="-432"/>
        <w:jc w:val="center"/>
        <w:rPr>
          <w:rFonts w:cstheme="minorHAnsi"/>
          <w:b/>
          <w:sz w:val="36"/>
        </w:rPr>
      </w:pPr>
      <w:r w:rsidRPr="00636B34">
        <w:rPr>
          <w:rFonts w:cstheme="minorHAnsi"/>
          <w:noProof/>
        </w:rPr>
        <w:drawing>
          <wp:anchor distT="0" distB="0" distL="114300" distR="114300" simplePos="0" relativeHeight="251659264" behindDoc="0" locked="0" layoutInCell="1" allowOverlap="1" wp14:anchorId="128D41FE" wp14:editId="50297235">
            <wp:simplePos x="0" y="0"/>
            <wp:positionH relativeFrom="margin">
              <wp:posOffset>-6260</wp:posOffset>
            </wp:positionH>
            <wp:positionV relativeFrom="paragraph">
              <wp:posOffset>363</wp:posOffset>
            </wp:positionV>
            <wp:extent cx="861300" cy="828675"/>
            <wp:effectExtent l="0" t="0" r="0" b="0"/>
            <wp:wrapSquare wrapText="bothSides"/>
            <wp:docPr id="1" name="Picture 1" descr="N:\BTS\RealEstate\HAMS\deliverables-8425\QC\1330-10-29\CADD\WTM83\WisDO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TS\RealEstate\HAMS\deliverables-8425\QC\1330-10-29\CADD\WTM83\WisDOT_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3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CA7">
        <w:rPr>
          <w:rFonts w:cstheme="minorHAnsi"/>
          <w:b/>
          <w:sz w:val="36"/>
        </w:rPr>
        <w:t>Town of Russell Project 8357-01-72</w:t>
      </w:r>
      <w:r w:rsidR="00582F47">
        <w:rPr>
          <w:rFonts w:cstheme="minorHAnsi"/>
          <w:b/>
          <w:sz w:val="36"/>
        </w:rPr>
        <w:t xml:space="preserve"> Status Update</w:t>
      </w:r>
    </w:p>
    <w:p w:rsidR="00C61CFC" w:rsidRDefault="00D01A75" w:rsidP="00F126E6">
      <w:pPr>
        <w:spacing w:after="0" w:line="240" w:lineRule="auto"/>
        <w:ind w:left="-432" w:right="-432"/>
        <w:jc w:val="center"/>
        <w:rPr>
          <w:rFonts w:cstheme="minorHAnsi"/>
        </w:rPr>
      </w:pPr>
      <w:r>
        <w:rPr>
          <w:rFonts w:cstheme="minorHAnsi"/>
        </w:rPr>
        <w:t>Northwest Region</w:t>
      </w:r>
    </w:p>
    <w:p w:rsidR="00C61CFC" w:rsidRPr="004B304A" w:rsidRDefault="00503CA7" w:rsidP="00F126E6">
      <w:pPr>
        <w:spacing w:after="0" w:line="240" w:lineRule="auto"/>
        <w:ind w:left="-432" w:right="-432"/>
        <w:jc w:val="center"/>
        <w:rPr>
          <w:rFonts w:cstheme="minorHAnsi"/>
          <w:b/>
          <w:sz w:val="20"/>
          <w:szCs w:val="24"/>
        </w:rPr>
      </w:pPr>
      <w:r>
        <w:rPr>
          <w:rFonts w:cstheme="minorHAnsi"/>
          <w:b/>
          <w:sz w:val="20"/>
          <w:szCs w:val="24"/>
        </w:rPr>
        <w:t>October 19, 2017</w:t>
      </w:r>
    </w:p>
    <w:p w:rsidR="00C61CFC" w:rsidRDefault="00C61CFC" w:rsidP="00C61CFC">
      <w:pPr>
        <w:spacing w:after="0" w:line="240" w:lineRule="auto"/>
        <w:ind w:left="-432" w:right="-432"/>
        <w:jc w:val="both"/>
        <w:rPr>
          <w:rFonts w:cstheme="minorHAnsi"/>
          <w:b/>
          <w:sz w:val="24"/>
          <w:szCs w:val="24"/>
        </w:rPr>
      </w:pPr>
    </w:p>
    <w:p w:rsidR="00C61CFC" w:rsidRDefault="00C61CFC" w:rsidP="00C61CFC">
      <w:pPr>
        <w:spacing w:after="0" w:line="240" w:lineRule="auto"/>
        <w:ind w:left="-432" w:right="-432"/>
        <w:jc w:val="both"/>
        <w:rPr>
          <w:rFonts w:cstheme="minorHAnsi"/>
          <w:b/>
          <w:sz w:val="24"/>
          <w:szCs w:val="24"/>
        </w:rPr>
      </w:pPr>
    </w:p>
    <w:p w:rsidR="00C61CFC" w:rsidRPr="00850985" w:rsidRDefault="005573C3" w:rsidP="00F126E6">
      <w:pPr>
        <w:spacing w:after="0" w:line="240" w:lineRule="auto"/>
        <w:jc w:val="both"/>
        <w:rPr>
          <w:rFonts w:ascii="Arial" w:hAnsi="Arial" w:cs="Arial"/>
          <w:sz w:val="20"/>
          <w:szCs w:val="20"/>
        </w:rPr>
      </w:pPr>
      <w:bookmarkStart w:id="0" w:name="_GoBack"/>
      <w:bookmarkEnd w:id="0"/>
      <w:r w:rsidRPr="00850985">
        <w:rPr>
          <w:rFonts w:ascii="Arial" w:hAnsi="Arial" w:cs="Arial"/>
          <w:b/>
          <w:sz w:val="20"/>
          <w:szCs w:val="20"/>
        </w:rPr>
        <w:t>Overview:</w:t>
      </w:r>
      <w:r w:rsidR="000671F3" w:rsidRPr="00850985">
        <w:rPr>
          <w:rFonts w:ascii="Arial" w:hAnsi="Arial" w:cs="Arial"/>
          <w:sz w:val="20"/>
          <w:szCs w:val="20"/>
        </w:rPr>
        <w:t xml:space="preserve"> The Northwest Region</w:t>
      </w:r>
      <w:r w:rsidR="00FA7B45">
        <w:rPr>
          <w:rFonts w:ascii="Arial" w:hAnsi="Arial" w:cs="Arial"/>
          <w:sz w:val="20"/>
          <w:szCs w:val="20"/>
        </w:rPr>
        <w:t xml:space="preserve"> (NWR)</w:t>
      </w:r>
      <w:r w:rsidR="000671F3" w:rsidRPr="00850985">
        <w:rPr>
          <w:rFonts w:ascii="Arial" w:hAnsi="Arial" w:cs="Arial"/>
          <w:sz w:val="20"/>
          <w:szCs w:val="20"/>
        </w:rPr>
        <w:t xml:space="preserve"> of the Wisconsin Department of Transportatio</w:t>
      </w:r>
      <w:r w:rsidR="005F3C87">
        <w:rPr>
          <w:rFonts w:ascii="Arial" w:hAnsi="Arial" w:cs="Arial"/>
          <w:sz w:val="20"/>
          <w:szCs w:val="20"/>
        </w:rPr>
        <w:t>n</w:t>
      </w:r>
      <w:r w:rsidR="00FA7B45">
        <w:rPr>
          <w:rFonts w:ascii="Arial" w:hAnsi="Arial" w:cs="Arial"/>
          <w:sz w:val="20"/>
          <w:szCs w:val="20"/>
        </w:rPr>
        <w:t xml:space="preserve"> (WisDOT)</w:t>
      </w:r>
      <w:r w:rsidR="005F3C87">
        <w:rPr>
          <w:rFonts w:ascii="Arial" w:hAnsi="Arial" w:cs="Arial"/>
          <w:sz w:val="20"/>
          <w:szCs w:val="20"/>
        </w:rPr>
        <w:t xml:space="preserve"> is currently working with the Design Consultant Westbrook Associated Engineers, Inc. and the Management Consultant Knight E/A, Inc</w:t>
      </w:r>
      <w:r w:rsidR="00A04FAA">
        <w:rPr>
          <w:rFonts w:ascii="Arial" w:hAnsi="Arial" w:cs="Arial"/>
          <w:sz w:val="20"/>
          <w:szCs w:val="20"/>
        </w:rPr>
        <w:t>.</w:t>
      </w:r>
      <w:r w:rsidR="005F3C87">
        <w:rPr>
          <w:rFonts w:ascii="Arial" w:hAnsi="Arial" w:cs="Arial"/>
          <w:sz w:val="20"/>
          <w:szCs w:val="20"/>
        </w:rPr>
        <w:t xml:space="preserve"> to submit a design plan </w:t>
      </w:r>
      <w:r w:rsidR="00297FF3">
        <w:rPr>
          <w:rFonts w:ascii="Arial" w:hAnsi="Arial" w:cs="Arial"/>
          <w:sz w:val="20"/>
          <w:szCs w:val="20"/>
        </w:rPr>
        <w:t xml:space="preserve">for Project 8357-01-72 for Little Sand Bay Road </w:t>
      </w:r>
      <w:r w:rsidR="005F3C87">
        <w:rPr>
          <w:rFonts w:ascii="Arial" w:hAnsi="Arial" w:cs="Arial"/>
          <w:sz w:val="20"/>
          <w:szCs w:val="20"/>
        </w:rPr>
        <w:t>in the Town of Russell at the northern tip of Bayfield County (see figure below).  The Town of Russell is currently not pleased with the status of this project.  The design plan was originally submitted through the PS&amp;E process on May 1, 2017</w:t>
      </w:r>
      <w:r w:rsidR="00FA7B45">
        <w:rPr>
          <w:rFonts w:ascii="Arial" w:hAnsi="Arial" w:cs="Arial"/>
          <w:sz w:val="20"/>
          <w:szCs w:val="20"/>
        </w:rPr>
        <w:t xml:space="preserve"> and went through the letting process on August 8, 2017.  The low contractor bid was roughly $35</w:t>
      </w:r>
      <w:r w:rsidR="00100243">
        <w:rPr>
          <w:rFonts w:ascii="Arial" w:hAnsi="Arial" w:cs="Arial"/>
          <w:sz w:val="20"/>
          <w:szCs w:val="20"/>
        </w:rPr>
        <w:t>8,000 over Westbrook</w:t>
      </w:r>
      <w:r w:rsidR="00FA7B45">
        <w:rPr>
          <w:rFonts w:ascii="Arial" w:hAnsi="Arial" w:cs="Arial"/>
          <w:sz w:val="20"/>
          <w:szCs w:val="20"/>
        </w:rPr>
        <w:t>’s estimate of $746,085, so at the request of the Town and in agreement with WisDOT’s Central Office and NWR, that bid was rejected at the time.  It was also agreed upon that the design plan would be resubmitted through the PS&amp;E process on October 1, 2017 and then the letting process in early 2018.  Leading up to the October 1</w:t>
      </w:r>
      <w:r w:rsidR="00FA7B45" w:rsidRPr="00FA7B45">
        <w:rPr>
          <w:rFonts w:ascii="Arial" w:hAnsi="Arial" w:cs="Arial"/>
          <w:sz w:val="20"/>
          <w:szCs w:val="20"/>
          <w:vertAlign w:val="superscript"/>
        </w:rPr>
        <w:t>st</w:t>
      </w:r>
      <w:r w:rsidR="00FA7B45">
        <w:rPr>
          <w:rFonts w:ascii="Arial" w:hAnsi="Arial" w:cs="Arial"/>
          <w:sz w:val="20"/>
          <w:szCs w:val="20"/>
        </w:rPr>
        <w:t xml:space="preserve"> resubmittal</w:t>
      </w:r>
      <w:r w:rsidR="00E80055">
        <w:rPr>
          <w:rFonts w:ascii="Arial" w:hAnsi="Arial" w:cs="Arial"/>
          <w:sz w:val="20"/>
          <w:szCs w:val="20"/>
        </w:rPr>
        <w:t xml:space="preserve">, Westbrook was going to look for areas in the design plan where a cost savings could occur, but those cost savings were only going to be minimal in nature and clearly not enough to account for the $358,000.  The Town expressed </w:t>
      </w:r>
      <w:r w:rsidR="00A80D8F">
        <w:rPr>
          <w:rFonts w:ascii="Arial" w:hAnsi="Arial" w:cs="Arial"/>
          <w:sz w:val="20"/>
          <w:szCs w:val="20"/>
        </w:rPr>
        <w:t>its displeasure to</w:t>
      </w:r>
      <w:r w:rsidR="00E80055">
        <w:rPr>
          <w:rFonts w:ascii="Arial" w:hAnsi="Arial" w:cs="Arial"/>
          <w:sz w:val="20"/>
          <w:szCs w:val="20"/>
        </w:rPr>
        <w:t xml:space="preserve"> Westbrook, resulting in the design plan not being resubmitted on October 1</w:t>
      </w:r>
      <w:r w:rsidR="00E80055" w:rsidRPr="00E80055">
        <w:rPr>
          <w:rFonts w:ascii="Arial" w:hAnsi="Arial" w:cs="Arial"/>
          <w:sz w:val="20"/>
          <w:szCs w:val="20"/>
          <w:vertAlign w:val="superscript"/>
        </w:rPr>
        <w:t>st</w:t>
      </w:r>
      <w:r w:rsidR="00E80055">
        <w:rPr>
          <w:rFonts w:ascii="Arial" w:hAnsi="Arial" w:cs="Arial"/>
          <w:sz w:val="20"/>
          <w:szCs w:val="20"/>
        </w:rPr>
        <w:t xml:space="preserve">.  </w:t>
      </w:r>
    </w:p>
    <w:p w:rsidR="000671F3" w:rsidRPr="00850985" w:rsidRDefault="000671F3" w:rsidP="00F126E6">
      <w:pPr>
        <w:spacing w:after="0" w:line="240" w:lineRule="auto"/>
        <w:jc w:val="both"/>
        <w:rPr>
          <w:rFonts w:ascii="Arial" w:hAnsi="Arial" w:cs="Arial"/>
          <w:sz w:val="20"/>
          <w:szCs w:val="20"/>
        </w:rPr>
      </w:pPr>
    </w:p>
    <w:p w:rsidR="00D66C6C" w:rsidRPr="00850985" w:rsidRDefault="00297FF3" w:rsidP="00F126E6">
      <w:pPr>
        <w:spacing w:after="0" w:line="240" w:lineRule="auto"/>
        <w:jc w:val="both"/>
        <w:rPr>
          <w:rFonts w:ascii="Arial" w:hAnsi="Arial" w:cs="Arial"/>
          <w:sz w:val="20"/>
          <w:szCs w:val="20"/>
        </w:rPr>
      </w:pPr>
      <w:r>
        <w:rPr>
          <w:rFonts w:ascii="Arial" w:hAnsi="Arial" w:cs="Arial"/>
          <w:b/>
          <w:sz w:val="20"/>
          <w:szCs w:val="20"/>
        </w:rPr>
        <w:t>Project Details</w:t>
      </w:r>
      <w:r w:rsidRPr="00297FF3">
        <w:rPr>
          <w:rFonts w:ascii="Arial" w:hAnsi="Arial" w:cs="Arial"/>
          <w:b/>
          <w:sz w:val="20"/>
          <w:szCs w:val="20"/>
        </w:rPr>
        <w:t>:</w:t>
      </w:r>
      <w:r>
        <w:rPr>
          <w:rFonts w:ascii="Arial" w:hAnsi="Arial" w:cs="Arial"/>
          <w:sz w:val="20"/>
          <w:szCs w:val="20"/>
        </w:rPr>
        <w:t xml:space="preserve"> As shown in the figure below, the project for Little Sand Bay Road was split into two sections receiving two different treatments.  The beginning of the project from Old CTH K to Ridge Road would receive a full-depth pulverizing, a 2-inch base aggregate lift, and a 2.5-inch asphalt overlay, with shoulder widening included.  The project from Ridge Road to the northern termini of Little Sand Bay Road would only receive a shoulder widening as the existing asphaltic surface was in acceptable condition.  Roadway side slopes were minimized to 3:1 in order to lessen the gra</w:t>
      </w:r>
      <w:r w:rsidR="00691D54">
        <w:rPr>
          <w:rFonts w:ascii="Arial" w:hAnsi="Arial" w:cs="Arial"/>
          <w:sz w:val="20"/>
          <w:szCs w:val="20"/>
        </w:rPr>
        <w:t>ding limits with the shoulder</w:t>
      </w:r>
      <w:r>
        <w:rPr>
          <w:rFonts w:ascii="Arial" w:hAnsi="Arial" w:cs="Arial"/>
          <w:sz w:val="20"/>
          <w:szCs w:val="20"/>
        </w:rPr>
        <w:t xml:space="preserve"> widening throughout the project.  </w:t>
      </w:r>
      <w:r w:rsidR="0047416D">
        <w:rPr>
          <w:rFonts w:ascii="Arial" w:hAnsi="Arial" w:cs="Arial"/>
          <w:sz w:val="20"/>
          <w:szCs w:val="20"/>
        </w:rPr>
        <w:t xml:space="preserve">The application for this project could not be found, but in general when </w:t>
      </w:r>
      <w:r w:rsidR="009A4DEA">
        <w:rPr>
          <w:rFonts w:ascii="Arial" w:hAnsi="Arial" w:cs="Arial"/>
          <w:sz w:val="20"/>
          <w:szCs w:val="20"/>
        </w:rPr>
        <w:t xml:space="preserve">local </w:t>
      </w:r>
      <w:r w:rsidR="0047416D">
        <w:rPr>
          <w:rFonts w:ascii="Arial" w:hAnsi="Arial" w:cs="Arial"/>
          <w:sz w:val="20"/>
          <w:szCs w:val="20"/>
        </w:rPr>
        <w:t xml:space="preserve">project applications are submitted to WisDOT, the local municipality chooses the treatment it desires and enters that on the application.  </w:t>
      </w:r>
      <w:r w:rsidR="003140A7">
        <w:rPr>
          <w:rFonts w:ascii="Arial" w:hAnsi="Arial" w:cs="Arial"/>
          <w:sz w:val="20"/>
          <w:szCs w:val="20"/>
        </w:rPr>
        <w:t xml:space="preserve">Also included in each application is the original estimate for both design and construction as determined by the local municipality.  </w:t>
      </w:r>
    </w:p>
    <w:p w:rsidR="00C61CFC" w:rsidRPr="00850985" w:rsidRDefault="00C61CFC" w:rsidP="00F126E6">
      <w:pPr>
        <w:spacing w:after="0" w:line="240" w:lineRule="auto"/>
        <w:jc w:val="both"/>
        <w:rPr>
          <w:rFonts w:ascii="Arial" w:hAnsi="Arial" w:cs="Arial"/>
          <w:sz w:val="20"/>
          <w:szCs w:val="20"/>
        </w:rPr>
      </w:pPr>
    </w:p>
    <w:p w:rsidR="00D66272" w:rsidRPr="00240498" w:rsidRDefault="0026461B" w:rsidP="00F126E6">
      <w:pPr>
        <w:spacing w:after="0" w:line="240" w:lineRule="auto"/>
        <w:jc w:val="both"/>
        <w:rPr>
          <w:rFonts w:ascii="Arial" w:hAnsi="Arial" w:cs="Arial"/>
          <w:b/>
          <w:sz w:val="20"/>
          <w:szCs w:val="20"/>
        </w:rPr>
      </w:pPr>
      <w:r w:rsidRPr="00240498">
        <w:rPr>
          <w:rFonts w:ascii="Arial" w:hAnsi="Arial" w:cs="Arial"/>
          <w:noProof/>
        </w:rPr>
        <w:drawing>
          <wp:anchor distT="0" distB="0" distL="114300" distR="114300" simplePos="0" relativeHeight="251662336" behindDoc="0" locked="0" layoutInCell="1" allowOverlap="1">
            <wp:simplePos x="0" y="0"/>
            <wp:positionH relativeFrom="column">
              <wp:posOffset>2661285</wp:posOffset>
            </wp:positionH>
            <wp:positionV relativeFrom="paragraph">
              <wp:posOffset>74295</wp:posOffset>
            </wp:positionV>
            <wp:extent cx="3829549" cy="365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29549" cy="3657600"/>
                    </a:xfrm>
                    <a:prstGeom prst="rect">
                      <a:avLst/>
                    </a:prstGeom>
                  </pic:spPr>
                </pic:pic>
              </a:graphicData>
            </a:graphic>
            <wp14:sizeRelH relativeFrom="margin">
              <wp14:pctWidth>0</wp14:pctWidth>
            </wp14:sizeRelH>
            <wp14:sizeRelV relativeFrom="margin">
              <wp14:pctHeight>0</wp14:pctHeight>
            </wp14:sizeRelV>
          </wp:anchor>
        </w:drawing>
      </w:r>
      <w:r w:rsidRPr="00240498">
        <w:rPr>
          <w:rFonts w:ascii="Arial" w:hAnsi="Arial" w:cs="Arial"/>
          <w:b/>
          <w:sz w:val="20"/>
          <w:szCs w:val="20"/>
        </w:rPr>
        <w:t>Project 8357-01-72</w:t>
      </w:r>
    </w:p>
    <w:p w:rsidR="00B109DA" w:rsidRPr="00240498" w:rsidRDefault="00B109DA" w:rsidP="00F126E6">
      <w:pPr>
        <w:spacing w:after="0" w:line="240" w:lineRule="auto"/>
        <w:jc w:val="both"/>
        <w:rPr>
          <w:rFonts w:ascii="Arial" w:hAnsi="Arial" w:cs="Arial"/>
          <w:b/>
          <w:sz w:val="20"/>
          <w:szCs w:val="20"/>
        </w:rPr>
        <w:sectPr w:rsidR="00B109DA" w:rsidRPr="00240498" w:rsidSect="00F126E6">
          <w:pgSz w:w="12240" w:h="15840"/>
          <w:pgMar w:top="1440" w:right="1080" w:bottom="1440" w:left="1080" w:header="720" w:footer="720" w:gutter="0"/>
          <w:cols w:space="720"/>
          <w:docGrid w:linePitch="360"/>
        </w:sectPr>
      </w:pPr>
    </w:p>
    <w:p w:rsidR="00D66272" w:rsidRPr="00240498" w:rsidRDefault="00D66272" w:rsidP="00F126E6">
      <w:pPr>
        <w:spacing w:after="0" w:line="240" w:lineRule="auto"/>
        <w:jc w:val="both"/>
        <w:rPr>
          <w:rFonts w:ascii="Arial" w:hAnsi="Arial" w:cs="Arial"/>
          <w:b/>
          <w:sz w:val="20"/>
          <w:szCs w:val="20"/>
        </w:rPr>
      </w:pPr>
    </w:p>
    <w:p w:rsidR="00BE4B06" w:rsidRPr="00240498" w:rsidRDefault="00BE4B06" w:rsidP="00BE4B06">
      <w:pPr>
        <w:spacing w:after="0"/>
        <w:rPr>
          <w:rFonts w:ascii="Arial" w:hAnsi="Arial" w:cs="Arial"/>
          <w:sz w:val="24"/>
          <w:szCs w:val="24"/>
        </w:rPr>
        <w:sectPr w:rsidR="00BE4B06" w:rsidRPr="00240498" w:rsidSect="00B109DA">
          <w:type w:val="continuous"/>
          <w:pgSz w:w="12240" w:h="15840"/>
          <w:pgMar w:top="1440" w:right="1080" w:bottom="1440" w:left="1080" w:header="720" w:footer="720" w:gutter="0"/>
          <w:cols w:space="720"/>
          <w:docGrid w:linePitch="360"/>
        </w:sectPr>
      </w:pPr>
    </w:p>
    <w:p w:rsidR="004C75C2" w:rsidRPr="00240498" w:rsidRDefault="00457994" w:rsidP="000536F7">
      <w:pPr>
        <w:spacing w:after="0"/>
        <w:rPr>
          <w:rFonts w:ascii="Arial" w:hAnsi="Arial" w:cs="Arial"/>
          <w:sz w:val="20"/>
          <w:szCs w:val="20"/>
        </w:rPr>
      </w:pPr>
      <w:r w:rsidRPr="00240498">
        <w:rPr>
          <w:rFonts w:ascii="Arial" w:hAnsi="Arial" w:cs="Arial"/>
          <w:sz w:val="20"/>
          <w:szCs w:val="20"/>
        </w:rPr>
        <w:t>Little Sand Bay Road</w:t>
      </w:r>
    </w:p>
    <w:p w:rsidR="004C75C2" w:rsidRPr="00240498" w:rsidRDefault="00457994" w:rsidP="000536F7">
      <w:pPr>
        <w:spacing w:after="0"/>
        <w:rPr>
          <w:rFonts w:ascii="Arial" w:hAnsi="Arial" w:cs="Arial"/>
          <w:sz w:val="20"/>
          <w:szCs w:val="20"/>
        </w:rPr>
      </w:pPr>
      <w:r w:rsidRPr="00240498">
        <w:rPr>
          <w:rFonts w:ascii="Arial" w:hAnsi="Arial" w:cs="Arial"/>
          <w:sz w:val="20"/>
          <w:szCs w:val="20"/>
        </w:rPr>
        <w:t>Ridge Road to Road Termini</w:t>
      </w:r>
      <w:r w:rsidR="004C75C2" w:rsidRPr="00240498">
        <w:rPr>
          <w:rFonts w:ascii="Arial" w:hAnsi="Arial" w:cs="Arial"/>
          <w:noProof/>
        </w:rPr>
        <w:t xml:space="preserve"> </w:t>
      </w:r>
    </w:p>
    <w:p w:rsidR="004C75C2" w:rsidRPr="00240498" w:rsidRDefault="0026461B" w:rsidP="000536F7">
      <w:pPr>
        <w:spacing w:after="0"/>
        <w:rPr>
          <w:rFonts w:ascii="Arial" w:hAnsi="Arial" w:cs="Arial"/>
          <w:sz w:val="20"/>
          <w:szCs w:val="20"/>
        </w:rPr>
      </w:pPr>
      <w:r w:rsidRPr="00240498">
        <w:rPr>
          <w:rFonts w:ascii="Arial" w:hAnsi="Arial" w:cs="Arial"/>
          <w:noProof/>
          <w:sz w:val="20"/>
          <w:szCs w:val="20"/>
        </w:rPr>
        <mc:AlternateContent>
          <mc:Choice Requires="wps">
            <w:drawing>
              <wp:anchor distT="0" distB="0" distL="114300" distR="114300" simplePos="0" relativeHeight="251670528" behindDoc="0" locked="0" layoutInCell="1" allowOverlap="1" wp14:anchorId="4ECAA5DA" wp14:editId="4F49780F">
                <wp:simplePos x="0" y="0"/>
                <wp:positionH relativeFrom="column">
                  <wp:posOffset>1450075</wp:posOffset>
                </wp:positionH>
                <wp:positionV relativeFrom="paragraph">
                  <wp:posOffset>80569</wp:posOffset>
                </wp:positionV>
                <wp:extent cx="1501253" cy="1546216"/>
                <wp:effectExtent l="19050" t="19050" r="60960" b="54610"/>
                <wp:wrapNone/>
                <wp:docPr id="8" name="Straight Arrow Connector 8"/>
                <wp:cNvGraphicFramePr/>
                <a:graphic xmlns:a="http://schemas.openxmlformats.org/drawingml/2006/main">
                  <a:graphicData uri="http://schemas.microsoft.com/office/word/2010/wordprocessingShape">
                    <wps:wsp>
                      <wps:cNvCnPr/>
                      <wps:spPr>
                        <a:xfrm>
                          <a:off x="0" y="0"/>
                          <a:ext cx="1501253" cy="154621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C591BB" id="_x0000_t32" coordsize="21600,21600" o:spt="32" o:oned="t" path="m,l21600,21600e" filled="f">
                <v:path arrowok="t" fillok="f" o:connecttype="none"/>
                <o:lock v:ext="edit" shapetype="t"/>
              </v:shapetype>
              <v:shape id="Straight Arrow Connector 8" o:spid="_x0000_s1026" type="#_x0000_t32" style="position:absolute;margin-left:114.2pt;margin-top:6.35pt;width:118.2pt;height:1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" strokecolor="red" strokeweight="3pt">
                <v:stroke endarrow="block" joinstyle="miter"/>
              </v:shape>
            </w:pict>
          </mc:Fallback>
        </mc:AlternateContent>
      </w:r>
      <w:r w:rsidR="00457994" w:rsidRPr="00240498">
        <w:rPr>
          <w:rFonts w:ascii="Arial" w:hAnsi="Arial" w:cs="Arial"/>
          <w:sz w:val="20"/>
          <w:szCs w:val="20"/>
        </w:rPr>
        <w:t>No Pavement Work</w:t>
      </w:r>
    </w:p>
    <w:p w:rsidR="004C75C2" w:rsidRPr="00240498" w:rsidRDefault="00457994" w:rsidP="000536F7">
      <w:pPr>
        <w:spacing w:after="0"/>
        <w:rPr>
          <w:rFonts w:ascii="Arial" w:hAnsi="Arial" w:cs="Arial"/>
          <w:sz w:val="20"/>
          <w:szCs w:val="20"/>
        </w:rPr>
      </w:pPr>
      <w:r w:rsidRPr="00240498">
        <w:rPr>
          <w:rFonts w:ascii="Arial" w:hAnsi="Arial" w:cs="Arial"/>
          <w:sz w:val="20"/>
          <w:szCs w:val="20"/>
        </w:rPr>
        <w:t>Shoulder Widening Only</w:t>
      </w:r>
    </w:p>
    <w:p w:rsidR="004C75C2" w:rsidRPr="00240498" w:rsidRDefault="0026461B" w:rsidP="000536F7">
      <w:pPr>
        <w:rPr>
          <w:rFonts w:ascii="Arial" w:hAnsi="Arial" w:cs="Arial"/>
          <w:b/>
          <w:sz w:val="20"/>
          <w:szCs w:val="20"/>
        </w:rPr>
      </w:pPr>
      <w:r w:rsidRPr="00240498">
        <w:rPr>
          <w:rFonts w:ascii="Arial" w:hAnsi="Arial" w:cs="Arial"/>
          <w:sz w:val="20"/>
          <w:szCs w:val="20"/>
        </w:rPr>
        <w:t>1.59 Miles</w:t>
      </w:r>
      <w:r w:rsidR="004C75C2" w:rsidRPr="00240498">
        <w:rPr>
          <w:rFonts w:ascii="Arial" w:hAnsi="Arial" w:cs="Arial"/>
          <w:b/>
          <w:sz w:val="20"/>
          <w:szCs w:val="20"/>
        </w:rPr>
        <w:t xml:space="preserve"> </w:t>
      </w:r>
    </w:p>
    <w:p w:rsidR="004C75C2" w:rsidRPr="00240498" w:rsidRDefault="004C75C2" w:rsidP="004C75C2">
      <w:pPr>
        <w:spacing w:after="0"/>
        <w:rPr>
          <w:rFonts w:ascii="Arial" w:hAnsi="Arial" w:cs="Arial"/>
          <w:sz w:val="20"/>
          <w:szCs w:val="20"/>
        </w:rPr>
      </w:pPr>
    </w:p>
    <w:p w:rsidR="004C75C2" w:rsidRPr="00240498" w:rsidRDefault="00457994" w:rsidP="000536F7">
      <w:pPr>
        <w:spacing w:after="0"/>
        <w:rPr>
          <w:rFonts w:ascii="Arial" w:hAnsi="Arial" w:cs="Arial"/>
          <w:sz w:val="20"/>
          <w:szCs w:val="20"/>
        </w:rPr>
      </w:pPr>
      <w:r w:rsidRPr="00240498">
        <w:rPr>
          <w:rFonts w:ascii="Arial" w:hAnsi="Arial" w:cs="Arial"/>
          <w:sz w:val="20"/>
          <w:szCs w:val="20"/>
        </w:rPr>
        <w:t>Little Sand Bay Road</w:t>
      </w:r>
      <w:r w:rsidR="004C75C2" w:rsidRPr="00240498">
        <w:rPr>
          <w:rFonts w:ascii="Arial" w:hAnsi="Arial" w:cs="Arial"/>
          <w:sz w:val="20"/>
          <w:szCs w:val="20"/>
        </w:rPr>
        <w:tab/>
      </w:r>
      <w:r w:rsidR="004C75C2" w:rsidRPr="00240498">
        <w:rPr>
          <w:rFonts w:ascii="Arial" w:hAnsi="Arial" w:cs="Arial"/>
          <w:sz w:val="20"/>
          <w:szCs w:val="20"/>
        </w:rPr>
        <w:tab/>
      </w:r>
      <w:r w:rsidR="004C75C2" w:rsidRPr="00240498">
        <w:rPr>
          <w:rFonts w:ascii="Arial" w:hAnsi="Arial" w:cs="Arial"/>
          <w:noProof/>
        </w:rPr>
        <w:t xml:space="preserve"> </w:t>
      </w:r>
    </w:p>
    <w:p w:rsidR="004C75C2" w:rsidRPr="00240498" w:rsidRDefault="00457994" w:rsidP="000536F7">
      <w:pPr>
        <w:spacing w:after="0"/>
        <w:rPr>
          <w:rFonts w:ascii="Arial" w:hAnsi="Arial" w:cs="Arial"/>
          <w:sz w:val="20"/>
          <w:szCs w:val="20"/>
        </w:rPr>
      </w:pPr>
      <w:r w:rsidRPr="00240498">
        <w:rPr>
          <w:rFonts w:ascii="Arial" w:hAnsi="Arial" w:cs="Arial"/>
          <w:sz w:val="20"/>
          <w:szCs w:val="20"/>
        </w:rPr>
        <w:t>Old CTH K to Ridge Road</w:t>
      </w:r>
    </w:p>
    <w:p w:rsidR="004C75C2" w:rsidRPr="00240498" w:rsidRDefault="00240498" w:rsidP="000536F7">
      <w:pPr>
        <w:spacing w:after="0"/>
        <w:rPr>
          <w:rFonts w:ascii="Arial" w:hAnsi="Arial" w:cs="Arial"/>
          <w:sz w:val="20"/>
          <w:szCs w:val="20"/>
        </w:rPr>
      </w:pPr>
      <w:r w:rsidRPr="00240498">
        <w:rPr>
          <w:rFonts w:ascii="Arial" w:hAnsi="Arial" w:cs="Arial"/>
          <w:noProof/>
          <w:sz w:val="20"/>
          <w:szCs w:val="20"/>
        </w:rPr>
        <mc:AlternateContent>
          <mc:Choice Requires="wps">
            <w:drawing>
              <wp:anchor distT="0" distB="0" distL="114300" distR="114300" simplePos="0" relativeHeight="251669504" behindDoc="0" locked="0" layoutInCell="1" allowOverlap="1" wp14:anchorId="508FA573" wp14:editId="31CB09FD">
                <wp:simplePos x="0" y="0"/>
                <wp:positionH relativeFrom="column">
                  <wp:posOffset>1218063</wp:posOffset>
                </wp:positionH>
                <wp:positionV relativeFrom="paragraph">
                  <wp:posOffset>76475</wp:posOffset>
                </wp:positionV>
                <wp:extent cx="1869743" cy="1064525"/>
                <wp:effectExtent l="19050" t="19050" r="73660" b="40640"/>
                <wp:wrapNone/>
                <wp:docPr id="9" name="Straight Arrow Connector 9"/>
                <wp:cNvGraphicFramePr/>
                <a:graphic xmlns:a="http://schemas.openxmlformats.org/drawingml/2006/main">
                  <a:graphicData uri="http://schemas.microsoft.com/office/word/2010/wordprocessingShape">
                    <wps:wsp>
                      <wps:cNvCnPr/>
                      <wps:spPr>
                        <a:xfrm>
                          <a:off x="0" y="0"/>
                          <a:ext cx="1869743" cy="10645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7D9B81" id="_x0000_t32" coordsize="21600,21600" o:spt="32" o:oned="t" path="m,l21600,21600e" filled="f">
                <v:path arrowok="t" fillok="f" o:connecttype="none"/>
                <o:lock v:ext="edit" shapetype="t"/>
              </v:shapetype>
              <v:shape id="Straight Arrow Connector 9" o:spid="_x0000_s1026" type="#_x0000_t32" style="position:absolute;margin-left:95.9pt;margin-top:6pt;width:147.2pt;height:8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" strokecolor="red" strokeweight="3pt">
                <v:stroke endarrow="block" joinstyle="miter"/>
              </v:shape>
            </w:pict>
          </mc:Fallback>
        </mc:AlternateContent>
      </w:r>
      <w:r w:rsidR="00457994" w:rsidRPr="00240498">
        <w:rPr>
          <w:rFonts w:ascii="Arial" w:hAnsi="Arial" w:cs="Arial"/>
          <w:sz w:val="20"/>
          <w:szCs w:val="20"/>
        </w:rPr>
        <w:t>Pulverize &amp; Overlay</w:t>
      </w:r>
      <w:r w:rsidR="004C75C2" w:rsidRPr="00240498">
        <w:rPr>
          <w:rFonts w:ascii="Arial" w:hAnsi="Arial" w:cs="Arial"/>
          <w:sz w:val="20"/>
          <w:szCs w:val="20"/>
        </w:rPr>
        <w:t xml:space="preserve"> </w:t>
      </w:r>
      <w:r w:rsidR="004C75C2" w:rsidRPr="00240498">
        <w:rPr>
          <w:rFonts w:ascii="Arial" w:hAnsi="Arial" w:cs="Arial"/>
          <w:sz w:val="20"/>
          <w:szCs w:val="20"/>
        </w:rPr>
        <w:tab/>
      </w:r>
      <w:r w:rsidR="004C75C2" w:rsidRPr="00240498">
        <w:rPr>
          <w:rFonts w:ascii="Arial" w:hAnsi="Arial" w:cs="Arial"/>
          <w:sz w:val="20"/>
          <w:szCs w:val="20"/>
        </w:rPr>
        <w:tab/>
      </w:r>
    </w:p>
    <w:p w:rsidR="004C75C2" w:rsidRPr="00240498" w:rsidRDefault="00457994" w:rsidP="000536F7">
      <w:pPr>
        <w:spacing w:after="0"/>
        <w:rPr>
          <w:rFonts w:ascii="Arial" w:hAnsi="Arial" w:cs="Arial"/>
          <w:sz w:val="20"/>
          <w:szCs w:val="20"/>
        </w:rPr>
      </w:pPr>
      <w:r w:rsidRPr="00240498">
        <w:rPr>
          <w:rFonts w:ascii="Arial" w:hAnsi="Arial" w:cs="Arial"/>
          <w:sz w:val="20"/>
          <w:szCs w:val="20"/>
        </w:rPr>
        <w:t>Shoulder Widening</w:t>
      </w:r>
      <w:r w:rsidR="004C75C2" w:rsidRPr="00240498">
        <w:rPr>
          <w:rFonts w:ascii="Arial" w:hAnsi="Arial" w:cs="Arial"/>
          <w:sz w:val="20"/>
          <w:szCs w:val="20"/>
        </w:rPr>
        <w:tab/>
      </w:r>
      <w:r w:rsidR="004C75C2" w:rsidRPr="00240498">
        <w:rPr>
          <w:rFonts w:ascii="Arial" w:hAnsi="Arial" w:cs="Arial"/>
          <w:sz w:val="20"/>
          <w:szCs w:val="20"/>
        </w:rPr>
        <w:tab/>
      </w:r>
      <w:r w:rsidR="004C75C2" w:rsidRPr="00240498">
        <w:rPr>
          <w:rFonts w:ascii="Arial" w:hAnsi="Arial" w:cs="Arial"/>
          <w:sz w:val="20"/>
          <w:szCs w:val="20"/>
        </w:rPr>
        <w:tab/>
      </w:r>
    </w:p>
    <w:p w:rsidR="00850985" w:rsidRPr="000536F7" w:rsidRDefault="003C5CB4" w:rsidP="000536F7">
      <w:pPr>
        <w:rPr>
          <w:rFonts w:ascii="Arial" w:hAnsi="Arial" w:cs="Arial"/>
          <w:b/>
          <w:sz w:val="20"/>
          <w:szCs w:val="20"/>
        </w:rPr>
      </w:pPr>
      <w:r w:rsidRPr="00240498">
        <w:rPr>
          <w:rFonts w:ascii="Arial" w:hAnsi="Arial" w:cs="Arial"/>
          <w:noProof/>
          <w:sz w:val="20"/>
          <w:szCs w:val="20"/>
        </w:rPr>
        <mc:AlternateContent>
          <mc:Choice Requires="wps">
            <w:drawing>
              <wp:anchor distT="0" distB="0" distL="114300" distR="114300" simplePos="0" relativeHeight="251665408" behindDoc="0" locked="0" layoutInCell="1" allowOverlap="1" wp14:anchorId="3F470E8F" wp14:editId="24066AC1">
                <wp:simplePos x="0" y="0"/>
                <wp:positionH relativeFrom="margin">
                  <wp:posOffset>2999702</wp:posOffset>
                </wp:positionH>
                <wp:positionV relativeFrom="paragraph">
                  <wp:posOffset>238306</wp:posOffset>
                </wp:positionV>
                <wp:extent cx="267970" cy="434975"/>
                <wp:effectExtent l="76200" t="0" r="74930" b="3175"/>
                <wp:wrapNone/>
                <wp:docPr id="4" name="Flowchart: Connector 4"/>
                <wp:cNvGraphicFramePr/>
                <a:graphic xmlns:a="http://schemas.openxmlformats.org/drawingml/2006/main">
                  <a:graphicData uri="http://schemas.microsoft.com/office/word/2010/wordprocessingShape">
                    <wps:wsp>
                      <wps:cNvSpPr/>
                      <wps:spPr>
                        <a:xfrm rot="19055043">
                          <a:off x="0" y="0"/>
                          <a:ext cx="267970" cy="434975"/>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D9C5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36.2pt;margin-top:18.75pt;width:21.1pt;height:34.25pt;rotation:-2779772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" filled="f" strokecolor="red" strokeweight="3pt">
                <v:stroke joinstyle="miter"/>
                <w10:wrap anchorx="margin"/>
              </v:shape>
            </w:pict>
          </mc:Fallback>
        </mc:AlternateContent>
      </w:r>
      <w:r w:rsidRPr="00240498">
        <w:rPr>
          <w:rFonts w:ascii="Arial" w:hAnsi="Arial" w:cs="Arial"/>
          <w:b/>
          <w:noProof/>
          <w:sz w:val="20"/>
          <w:szCs w:val="20"/>
        </w:rPr>
        <mc:AlternateContent>
          <mc:Choice Requires="wps">
            <w:drawing>
              <wp:anchor distT="0" distB="0" distL="114300" distR="114300" simplePos="0" relativeHeight="251663360" behindDoc="0" locked="0" layoutInCell="1" allowOverlap="1">
                <wp:simplePos x="0" y="0"/>
                <wp:positionH relativeFrom="margin">
                  <wp:posOffset>3119037</wp:posOffset>
                </wp:positionH>
                <wp:positionV relativeFrom="paragraph">
                  <wp:posOffset>684179</wp:posOffset>
                </wp:positionV>
                <wp:extent cx="245659" cy="341744"/>
                <wp:effectExtent l="19050" t="19050" r="21590" b="20320"/>
                <wp:wrapNone/>
                <wp:docPr id="3" name="Flowchart: Connector 3"/>
                <wp:cNvGraphicFramePr/>
                <a:graphic xmlns:a="http://schemas.openxmlformats.org/drawingml/2006/main">
                  <a:graphicData uri="http://schemas.microsoft.com/office/word/2010/wordprocessingShape">
                    <wps:wsp>
                      <wps:cNvSpPr/>
                      <wps:spPr>
                        <a:xfrm>
                          <a:off x="0" y="0"/>
                          <a:ext cx="245659" cy="341744"/>
                        </a:xfrm>
                        <a:prstGeom prst="flowChartConnector">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F1CD" id="Flowchart: Connector 3" o:spid="_x0000_s1026" type="#_x0000_t120" style="position:absolute;margin-left:245.6pt;margin-top:53.85pt;width:19.35pt;height:2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" filled="f" strokecolor="red" strokeweight="3pt">
                <v:stroke joinstyle="miter"/>
                <w10:wrap anchorx="margin"/>
              </v:shape>
            </w:pict>
          </mc:Fallback>
        </mc:AlternateContent>
      </w:r>
      <w:r w:rsidR="0026461B" w:rsidRPr="00240498">
        <w:rPr>
          <w:rFonts w:ascii="Arial" w:hAnsi="Arial" w:cs="Arial"/>
          <w:sz w:val="20"/>
          <w:szCs w:val="20"/>
        </w:rPr>
        <w:t>1.04 Miles</w:t>
      </w:r>
      <w:r w:rsidR="00850985" w:rsidRPr="000536F7">
        <w:rPr>
          <w:rFonts w:ascii="Arial" w:hAnsi="Arial" w:cs="Arial"/>
          <w:b/>
          <w:sz w:val="20"/>
          <w:szCs w:val="20"/>
        </w:rPr>
        <w:br w:type="page"/>
      </w:r>
    </w:p>
    <w:p w:rsidR="00C61D65" w:rsidRDefault="00C61D65" w:rsidP="00DA70E5">
      <w:pPr>
        <w:spacing w:after="0" w:line="240" w:lineRule="auto"/>
        <w:ind w:right="-432"/>
        <w:jc w:val="both"/>
        <w:rPr>
          <w:rFonts w:ascii="Arial" w:hAnsi="Arial" w:cs="Arial"/>
          <w:sz w:val="20"/>
          <w:szCs w:val="20"/>
        </w:rPr>
      </w:pPr>
      <w:r>
        <w:rPr>
          <w:rFonts w:ascii="Arial" w:hAnsi="Arial" w:cs="Arial"/>
          <w:b/>
          <w:sz w:val="20"/>
          <w:szCs w:val="20"/>
        </w:rPr>
        <w:lastRenderedPageBreak/>
        <w:t>Funding, Estimate, and Bid</w:t>
      </w:r>
      <w:r w:rsidRPr="00C61D65">
        <w:rPr>
          <w:rFonts w:ascii="Arial" w:hAnsi="Arial" w:cs="Arial"/>
          <w:b/>
          <w:sz w:val="20"/>
          <w:szCs w:val="20"/>
        </w:rPr>
        <w:t xml:space="preserve"> Details: </w:t>
      </w:r>
      <w:r>
        <w:rPr>
          <w:rFonts w:ascii="Arial" w:hAnsi="Arial" w:cs="Arial"/>
          <w:sz w:val="20"/>
          <w:szCs w:val="20"/>
        </w:rPr>
        <w:t xml:space="preserve">A usual </w:t>
      </w:r>
      <w:r w:rsidR="009A4DEA">
        <w:rPr>
          <w:rFonts w:ascii="Arial" w:hAnsi="Arial" w:cs="Arial"/>
          <w:sz w:val="20"/>
          <w:szCs w:val="20"/>
        </w:rPr>
        <w:t xml:space="preserve">local </w:t>
      </w:r>
      <w:r>
        <w:rPr>
          <w:rFonts w:ascii="Arial" w:hAnsi="Arial" w:cs="Arial"/>
          <w:sz w:val="20"/>
          <w:szCs w:val="20"/>
        </w:rPr>
        <w:t>project has 80% federal funds and 20% local funds</w:t>
      </w:r>
      <w:r w:rsidR="009A4DEA">
        <w:rPr>
          <w:rFonts w:ascii="Arial" w:hAnsi="Arial" w:cs="Arial"/>
          <w:sz w:val="20"/>
          <w:szCs w:val="20"/>
        </w:rPr>
        <w:t>.  This project was different in that it has 100% federal funds: 71.21% Federal Lands Access Program (FLAP) funds and 28.79% National Park Service (NPS) funds.  The total funding limit was set at $843,000 for design and construction in the State Municipal Agreement (SMA), with the To</w:t>
      </w:r>
      <w:r w:rsidR="00785C00">
        <w:rPr>
          <w:rFonts w:ascii="Arial" w:hAnsi="Arial" w:cs="Arial"/>
          <w:sz w:val="20"/>
          <w:szCs w:val="20"/>
        </w:rPr>
        <w:t>wn agreeing to fund any project</w:t>
      </w:r>
      <w:r w:rsidR="009A4DEA">
        <w:rPr>
          <w:rFonts w:ascii="Arial" w:hAnsi="Arial" w:cs="Arial"/>
          <w:sz w:val="20"/>
          <w:szCs w:val="20"/>
        </w:rPr>
        <w:t xml:space="preserve"> costs above that limit.  Through the design process, Westbrook determined a construction estimate </w:t>
      </w:r>
      <w:r w:rsidR="00CC273D">
        <w:rPr>
          <w:rFonts w:ascii="Arial" w:hAnsi="Arial" w:cs="Arial"/>
          <w:sz w:val="20"/>
          <w:szCs w:val="20"/>
        </w:rPr>
        <w:t xml:space="preserve">of </w:t>
      </w:r>
      <w:r w:rsidR="009A4DEA" w:rsidRPr="009A4DEA">
        <w:rPr>
          <w:rFonts w:ascii="Arial" w:hAnsi="Arial" w:cs="Arial"/>
          <w:sz w:val="20"/>
          <w:szCs w:val="20"/>
        </w:rPr>
        <w:t>$746,085</w:t>
      </w:r>
      <w:r w:rsidR="009A4DEA">
        <w:rPr>
          <w:rFonts w:ascii="Arial" w:hAnsi="Arial" w:cs="Arial"/>
          <w:sz w:val="20"/>
          <w:szCs w:val="20"/>
        </w:rPr>
        <w:t>.  When the original letting process resulted in the low contractor bid being $358,000</w:t>
      </w:r>
      <w:r w:rsidR="00CC273D">
        <w:rPr>
          <w:rFonts w:ascii="Arial" w:hAnsi="Arial" w:cs="Arial"/>
          <w:sz w:val="20"/>
          <w:szCs w:val="20"/>
        </w:rPr>
        <w:t xml:space="preserve"> over that estimate, Westbrook wa</w:t>
      </w:r>
      <w:r w:rsidR="009A4DEA">
        <w:rPr>
          <w:rFonts w:ascii="Arial" w:hAnsi="Arial" w:cs="Arial"/>
          <w:sz w:val="20"/>
          <w:szCs w:val="20"/>
        </w:rPr>
        <w:t xml:space="preserve">s required to submit a justification to WisDOT’s Central Office in regard to whether Westbrook’s estimate was </w:t>
      </w:r>
      <w:r w:rsidR="007C561A">
        <w:rPr>
          <w:rFonts w:ascii="Arial" w:hAnsi="Arial" w:cs="Arial"/>
          <w:sz w:val="20"/>
          <w:szCs w:val="20"/>
        </w:rPr>
        <w:t>reasonable and the contractor bid</w:t>
      </w:r>
      <w:r w:rsidR="00CC273D">
        <w:rPr>
          <w:rFonts w:ascii="Arial" w:hAnsi="Arial" w:cs="Arial"/>
          <w:sz w:val="20"/>
          <w:szCs w:val="20"/>
        </w:rPr>
        <w:t>s were</w:t>
      </w:r>
      <w:r w:rsidR="007C561A">
        <w:rPr>
          <w:rFonts w:ascii="Arial" w:hAnsi="Arial" w:cs="Arial"/>
          <w:sz w:val="20"/>
          <w:szCs w:val="20"/>
        </w:rPr>
        <w:t xml:space="preserve"> reasonable.  Westbrook stands by the quantities and bid prices contained within its estimate </w:t>
      </w:r>
      <w:r w:rsidR="00A349E4">
        <w:rPr>
          <w:rFonts w:ascii="Arial" w:hAnsi="Arial" w:cs="Arial"/>
          <w:sz w:val="20"/>
          <w:szCs w:val="20"/>
        </w:rPr>
        <w:t>and does not believe the contractor bid</w:t>
      </w:r>
      <w:r w:rsidR="00CC273D">
        <w:rPr>
          <w:rFonts w:ascii="Arial" w:hAnsi="Arial" w:cs="Arial"/>
          <w:sz w:val="20"/>
          <w:szCs w:val="20"/>
        </w:rPr>
        <w:t>s were</w:t>
      </w:r>
      <w:r w:rsidR="00A349E4">
        <w:rPr>
          <w:rFonts w:ascii="Arial" w:hAnsi="Arial" w:cs="Arial"/>
          <w:sz w:val="20"/>
          <w:szCs w:val="20"/>
        </w:rPr>
        <w:t xml:space="preserve"> reasonable.  Issues that may contribute to the contractor bid</w:t>
      </w:r>
      <w:r w:rsidR="0035051D">
        <w:rPr>
          <w:rFonts w:ascii="Arial" w:hAnsi="Arial" w:cs="Arial"/>
          <w:sz w:val="20"/>
          <w:szCs w:val="20"/>
        </w:rPr>
        <w:t>s being considerably over estimate</w:t>
      </w:r>
      <w:r w:rsidR="00A349E4">
        <w:rPr>
          <w:rFonts w:ascii="Arial" w:hAnsi="Arial" w:cs="Arial"/>
          <w:sz w:val="20"/>
          <w:szCs w:val="20"/>
        </w:rPr>
        <w:t xml:space="preserve"> are listed below.  </w:t>
      </w:r>
    </w:p>
    <w:p w:rsidR="00A349E4" w:rsidRDefault="00A349E4" w:rsidP="00DA70E5">
      <w:pPr>
        <w:spacing w:after="0" w:line="240" w:lineRule="auto"/>
        <w:ind w:right="-432"/>
        <w:jc w:val="both"/>
        <w:rPr>
          <w:rFonts w:ascii="Arial" w:hAnsi="Arial" w:cs="Arial"/>
          <w:sz w:val="20"/>
          <w:szCs w:val="20"/>
        </w:rPr>
      </w:pPr>
    </w:p>
    <w:p w:rsidR="00A349E4" w:rsidRDefault="00A349E4" w:rsidP="00DA70E5">
      <w:pPr>
        <w:spacing w:after="0" w:line="240" w:lineRule="auto"/>
        <w:ind w:right="-432"/>
        <w:jc w:val="both"/>
        <w:rPr>
          <w:rFonts w:ascii="Arial" w:hAnsi="Arial" w:cs="Arial"/>
          <w:sz w:val="20"/>
          <w:szCs w:val="20"/>
        </w:rPr>
      </w:pPr>
      <w:r>
        <w:rPr>
          <w:rFonts w:ascii="Arial" w:hAnsi="Arial" w:cs="Arial"/>
          <w:sz w:val="20"/>
          <w:szCs w:val="20"/>
        </w:rPr>
        <w:t>Issue #1: The Town requested that no project work be completed between Memorial Day and Labor Day as the northern termini of Little Sand Bay Road ends at a National Park with recreational facilities and campgrounds located on Lake Superior.  Tourism to this location is vital to the area and peaks between those two holidays.  The problem this presents is that there is a high likelihood of two scenarios: 1) the project starts before Memorial Day but cannot get completed by Memorial Day</w:t>
      </w:r>
      <w:r w:rsidR="007D0404">
        <w:rPr>
          <w:rFonts w:ascii="Arial" w:hAnsi="Arial" w:cs="Arial"/>
          <w:sz w:val="20"/>
          <w:szCs w:val="20"/>
        </w:rPr>
        <w:t>, so the project will need to then be completed after Labor Day following a work stoppage, or 2) the project starts after Labor Day but cannot get completed before winter weather starts, so the project will then need to be completed the following spring of the next year following a work stoppag</w:t>
      </w:r>
      <w:r w:rsidR="00616563">
        <w:rPr>
          <w:rFonts w:ascii="Arial" w:hAnsi="Arial" w:cs="Arial"/>
          <w:sz w:val="20"/>
          <w:szCs w:val="20"/>
        </w:rPr>
        <w:t xml:space="preserve">e.  Contractors will bid such </w:t>
      </w:r>
      <w:r w:rsidR="007D0404">
        <w:rPr>
          <w:rFonts w:ascii="Arial" w:hAnsi="Arial" w:cs="Arial"/>
          <w:sz w:val="20"/>
          <w:szCs w:val="20"/>
        </w:rPr>
        <w:t>scenario</w:t>
      </w:r>
      <w:r w:rsidR="00616563">
        <w:rPr>
          <w:rFonts w:ascii="Arial" w:hAnsi="Arial" w:cs="Arial"/>
          <w:sz w:val="20"/>
          <w:szCs w:val="20"/>
        </w:rPr>
        <w:t>s</w:t>
      </w:r>
      <w:r w:rsidR="007D0404">
        <w:rPr>
          <w:rFonts w:ascii="Arial" w:hAnsi="Arial" w:cs="Arial"/>
          <w:sz w:val="20"/>
          <w:szCs w:val="20"/>
        </w:rPr>
        <w:t xml:space="preserve"> higher as this affects their overall </w:t>
      </w:r>
      <w:r w:rsidR="00616563">
        <w:rPr>
          <w:rFonts w:ascii="Arial" w:hAnsi="Arial" w:cs="Arial"/>
          <w:sz w:val="20"/>
          <w:szCs w:val="20"/>
        </w:rPr>
        <w:t xml:space="preserve">company </w:t>
      </w:r>
      <w:r w:rsidR="007D0404">
        <w:rPr>
          <w:rFonts w:ascii="Arial" w:hAnsi="Arial" w:cs="Arial"/>
          <w:sz w:val="20"/>
          <w:szCs w:val="20"/>
        </w:rPr>
        <w:t xml:space="preserve">operations.  </w:t>
      </w:r>
    </w:p>
    <w:p w:rsidR="007D0404" w:rsidRDefault="007D0404" w:rsidP="00DA70E5">
      <w:pPr>
        <w:spacing w:after="0" w:line="240" w:lineRule="auto"/>
        <w:ind w:right="-432"/>
        <w:jc w:val="both"/>
        <w:rPr>
          <w:rFonts w:ascii="Arial" w:hAnsi="Arial" w:cs="Arial"/>
          <w:sz w:val="20"/>
          <w:szCs w:val="20"/>
        </w:rPr>
      </w:pPr>
    </w:p>
    <w:p w:rsidR="007D0404" w:rsidRDefault="00616563" w:rsidP="00DA70E5">
      <w:pPr>
        <w:spacing w:after="0" w:line="240" w:lineRule="auto"/>
        <w:ind w:right="-432"/>
        <w:jc w:val="both"/>
        <w:rPr>
          <w:rFonts w:ascii="Arial" w:hAnsi="Arial" w:cs="Arial"/>
          <w:sz w:val="20"/>
          <w:szCs w:val="20"/>
        </w:rPr>
      </w:pPr>
      <w:r>
        <w:rPr>
          <w:rFonts w:ascii="Arial" w:hAnsi="Arial" w:cs="Arial"/>
          <w:sz w:val="20"/>
          <w:szCs w:val="20"/>
        </w:rPr>
        <w:t>Issue #2: The location of this project is likely</w:t>
      </w:r>
      <w:r w:rsidRPr="00616563">
        <w:rPr>
          <w:rFonts w:ascii="Arial" w:hAnsi="Arial" w:cs="Arial"/>
          <w:sz w:val="20"/>
          <w:szCs w:val="20"/>
        </w:rPr>
        <w:t xml:space="preserve"> the main issue for the s</w:t>
      </w:r>
      <w:r>
        <w:rPr>
          <w:rFonts w:ascii="Arial" w:hAnsi="Arial" w:cs="Arial"/>
          <w:sz w:val="20"/>
          <w:szCs w:val="20"/>
        </w:rPr>
        <w:t>ubstantially-over-estimate bid</w:t>
      </w:r>
      <w:r w:rsidR="008F6841">
        <w:rPr>
          <w:rFonts w:ascii="Arial" w:hAnsi="Arial" w:cs="Arial"/>
          <w:sz w:val="20"/>
          <w:szCs w:val="20"/>
        </w:rPr>
        <w:t>.  It truly is a remote</w:t>
      </w:r>
      <w:r w:rsidRPr="00616563">
        <w:rPr>
          <w:rFonts w:ascii="Arial" w:hAnsi="Arial" w:cs="Arial"/>
          <w:sz w:val="20"/>
          <w:szCs w:val="20"/>
        </w:rPr>
        <w:t xml:space="preserve"> outlier as it is at the very northern tip of Bayfield County near Lake Superior.  Checking for aggregate sources nearest this project, the trucking costs will be greater than usual, and that is likely the driving force in the </w:t>
      </w:r>
      <w:r>
        <w:rPr>
          <w:rFonts w:ascii="Arial" w:hAnsi="Arial" w:cs="Arial"/>
          <w:sz w:val="20"/>
          <w:szCs w:val="20"/>
        </w:rPr>
        <w:t>major items (Excavation Common, Base Aggregate Dense 1 ¼”, HMA Pavement</w:t>
      </w:r>
      <w:r w:rsidR="0004775F">
        <w:rPr>
          <w:rFonts w:ascii="Arial" w:hAnsi="Arial" w:cs="Arial"/>
          <w:sz w:val="20"/>
          <w:szCs w:val="20"/>
        </w:rPr>
        <w:t xml:space="preserve">, Mobilization) </w:t>
      </w:r>
      <w:r w:rsidRPr="00616563">
        <w:rPr>
          <w:rFonts w:ascii="Arial" w:hAnsi="Arial" w:cs="Arial"/>
          <w:sz w:val="20"/>
          <w:szCs w:val="20"/>
        </w:rPr>
        <w:t xml:space="preserve">coming in </w:t>
      </w:r>
      <w:r w:rsidR="0004775F">
        <w:rPr>
          <w:rFonts w:ascii="Arial" w:hAnsi="Arial" w:cs="Arial"/>
          <w:sz w:val="20"/>
          <w:szCs w:val="20"/>
        </w:rPr>
        <w:t xml:space="preserve">substantially above Westbrook’s estimate.  If </w:t>
      </w:r>
      <w:r w:rsidRPr="00616563">
        <w:rPr>
          <w:rFonts w:ascii="Arial" w:hAnsi="Arial" w:cs="Arial"/>
          <w:sz w:val="20"/>
          <w:szCs w:val="20"/>
        </w:rPr>
        <w:t>bid prices for past projects in Bayfield County</w:t>
      </w:r>
      <w:r w:rsidR="0004775F">
        <w:rPr>
          <w:rFonts w:ascii="Arial" w:hAnsi="Arial" w:cs="Arial"/>
          <w:sz w:val="20"/>
          <w:szCs w:val="20"/>
        </w:rPr>
        <w:t xml:space="preserve"> are compared, those past </w:t>
      </w:r>
      <w:r w:rsidRPr="00616563">
        <w:rPr>
          <w:rFonts w:ascii="Arial" w:hAnsi="Arial" w:cs="Arial"/>
          <w:sz w:val="20"/>
          <w:szCs w:val="20"/>
        </w:rPr>
        <w:t>projects were likely located in the mid to southern portion of the County with closer proximity to aggregate sources</w:t>
      </w:r>
      <w:r w:rsidR="0004775F">
        <w:rPr>
          <w:rFonts w:ascii="Arial" w:hAnsi="Arial" w:cs="Arial"/>
          <w:sz w:val="20"/>
          <w:szCs w:val="20"/>
        </w:rPr>
        <w:t>, making a comparison to this project difficult</w:t>
      </w:r>
      <w:r w:rsidRPr="00616563">
        <w:rPr>
          <w:rFonts w:ascii="Arial" w:hAnsi="Arial" w:cs="Arial"/>
          <w:sz w:val="20"/>
          <w:szCs w:val="20"/>
        </w:rPr>
        <w:t xml:space="preserve">.  </w:t>
      </w:r>
    </w:p>
    <w:p w:rsidR="004D2A78" w:rsidRDefault="004D2A78" w:rsidP="00DA70E5">
      <w:pPr>
        <w:spacing w:after="0" w:line="240" w:lineRule="auto"/>
        <w:ind w:right="-432"/>
        <w:jc w:val="both"/>
        <w:rPr>
          <w:rFonts w:ascii="Arial" w:hAnsi="Arial" w:cs="Arial"/>
          <w:sz w:val="20"/>
          <w:szCs w:val="20"/>
        </w:rPr>
      </w:pPr>
    </w:p>
    <w:p w:rsidR="004D2A78" w:rsidRDefault="004D2A78" w:rsidP="00DA70E5">
      <w:pPr>
        <w:spacing w:after="0" w:line="240" w:lineRule="auto"/>
        <w:ind w:right="-432"/>
        <w:jc w:val="both"/>
        <w:rPr>
          <w:rFonts w:ascii="Arial" w:hAnsi="Arial" w:cs="Arial"/>
          <w:sz w:val="20"/>
          <w:szCs w:val="20"/>
        </w:rPr>
      </w:pPr>
      <w:r>
        <w:rPr>
          <w:rFonts w:ascii="Arial" w:hAnsi="Arial" w:cs="Arial"/>
          <w:sz w:val="20"/>
          <w:szCs w:val="20"/>
        </w:rPr>
        <w:t>Issue #3: There is a lack of contractor competition in general within NWR</w:t>
      </w:r>
      <w:r w:rsidR="008F6841">
        <w:rPr>
          <w:rFonts w:ascii="Arial" w:hAnsi="Arial" w:cs="Arial"/>
          <w:sz w:val="20"/>
          <w:szCs w:val="20"/>
        </w:rPr>
        <w:t xml:space="preserve"> for the northern counties</w:t>
      </w:r>
      <w:r>
        <w:rPr>
          <w:rFonts w:ascii="Arial" w:hAnsi="Arial" w:cs="Arial"/>
          <w:sz w:val="20"/>
          <w:szCs w:val="20"/>
        </w:rPr>
        <w:t xml:space="preserve">, but that lack can be </w:t>
      </w:r>
      <w:r w:rsidR="008F6841">
        <w:rPr>
          <w:rFonts w:ascii="Arial" w:hAnsi="Arial" w:cs="Arial"/>
          <w:sz w:val="20"/>
          <w:szCs w:val="20"/>
        </w:rPr>
        <w:t xml:space="preserve">further </w:t>
      </w:r>
      <w:r>
        <w:rPr>
          <w:rFonts w:ascii="Arial" w:hAnsi="Arial" w:cs="Arial"/>
          <w:sz w:val="20"/>
          <w:szCs w:val="20"/>
        </w:rPr>
        <w:t xml:space="preserve">increased by project location and time of the letting process.  The project location was discussed above.  </w:t>
      </w:r>
      <w:proofErr w:type="gramStart"/>
      <w:r>
        <w:rPr>
          <w:rFonts w:ascii="Arial" w:hAnsi="Arial" w:cs="Arial"/>
          <w:sz w:val="20"/>
          <w:szCs w:val="20"/>
        </w:rPr>
        <w:t>In regard to</w:t>
      </w:r>
      <w:proofErr w:type="gramEnd"/>
      <w:r>
        <w:rPr>
          <w:rFonts w:ascii="Arial" w:hAnsi="Arial" w:cs="Arial"/>
          <w:sz w:val="20"/>
          <w:szCs w:val="20"/>
        </w:rPr>
        <w:t xml:space="preserve"> </w:t>
      </w:r>
      <w:r w:rsidR="00673884">
        <w:rPr>
          <w:rFonts w:ascii="Arial" w:hAnsi="Arial" w:cs="Arial"/>
          <w:sz w:val="20"/>
          <w:szCs w:val="20"/>
        </w:rPr>
        <w:t xml:space="preserve">the </w:t>
      </w:r>
      <w:r>
        <w:rPr>
          <w:rFonts w:ascii="Arial" w:hAnsi="Arial" w:cs="Arial"/>
          <w:sz w:val="20"/>
          <w:szCs w:val="20"/>
        </w:rPr>
        <w:t>time of the letting process,</w:t>
      </w:r>
      <w:r w:rsidR="008F6841">
        <w:rPr>
          <w:rFonts w:ascii="Arial" w:hAnsi="Arial" w:cs="Arial"/>
          <w:sz w:val="20"/>
          <w:szCs w:val="20"/>
        </w:rPr>
        <w:t xml:space="preserve"> an August letting likely amplified the lack of competition for this remote project location.  </w:t>
      </w:r>
      <w:r w:rsidR="00FC64F4">
        <w:rPr>
          <w:rFonts w:ascii="Arial" w:hAnsi="Arial" w:cs="Arial"/>
          <w:sz w:val="20"/>
          <w:szCs w:val="20"/>
        </w:rPr>
        <w:t xml:space="preserve">With an August 2017 letting for late 2017 construction, most contractors may have already had enough work and their construction season set, making this project a non-priority and resulting in fewer bids and/or high bids.  </w:t>
      </w:r>
    </w:p>
    <w:p w:rsidR="00FC64F4" w:rsidRDefault="00FC64F4" w:rsidP="00DA70E5">
      <w:pPr>
        <w:spacing w:after="0" w:line="240" w:lineRule="auto"/>
        <w:ind w:right="-432"/>
        <w:jc w:val="both"/>
        <w:rPr>
          <w:rFonts w:ascii="Arial" w:hAnsi="Arial" w:cs="Arial"/>
          <w:sz w:val="20"/>
          <w:szCs w:val="20"/>
        </w:rPr>
      </w:pPr>
    </w:p>
    <w:p w:rsidR="00FC64F4" w:rsidRPr="00C61D65" w:rsidRDefault="00FC64F4" w:rsidP="00DA70E5">
      <w:pPr>
        <w:spacing w:after="0" w:line="240" w:lineRule="auto"/>
        <w:ind w:right="-432"/>
        <w:jc w:val="both"/>
        <w:rPr>
          <w:rFonts w:ascii="Arial" w:hAnsi="Arial" w:cs="Arial"/>
          <w:sz w:val="20"/>
          <w:szCs w:val="20"/>
        </w:rPr>
      </w:pPr>
      <w:r>
        <w:rPr>
          <w:rFonts w:ascii="Arial" w:hAnsi="Arial" w:cs="Arial"/>
          <w:sz w:val="20"/>
          <w:szCs w:val="20"/>
        </w:rPr>
        <w:t xml:space="preserve">Issue #4: Because this project was scheduled to be 100% federally-funded, the Town likely did not plan ahead to fund any portion of this project, even though the Town did sign an SMA agreeing to fund any amount over the federal limit of $843,000.  For example, even if the low contractor bid had come in $50,000 over Westbrook’s estimate, the Town may be unprepared to even fund that.  </w:t>
      </w:r>
    </w:p>
    <w:p w:rsidR="00C61D65" w:rsidRDefault="00C61D65" w:rsidP="00DA70E5">
      <w:pPr>
        <w:spacing w:after="0" w:line="240" w:lineRule="auto"/>
        <w:ind w:right="-432"/>
        <w:jc w:val="both"/>
        <w:rPr>
          <w:rFonts w:ascii="Arial" w:hAnsi="Arial" w:cs="Arial"/>
          <w:b/>
          <w:sz w:val="20"/>
          <w:szCs w:val="20"/>
        </w:rPr>
      </w:pPr>
    </w:p>
    <w:p w:rsidR="001A1AFE" w:rsidRPr="00110E2E" w:rsidRDefault="003B100C" w:rsidP="00DA70E5">
      <w:pPr>
        <w:spacing w:after="0" w:line="240" w:lineRule="auto"/>
        <w:ind w:right="-432"/>
        <w:jc w:val="both"/>
        <w:rPr>
          <w:rFonts w:ascii="Arial" w:hAnsi="Arial" w:cs="Arial"/>
          <w:sz w:val="20"/>
          <w:szCs w:val="20"/>
        </w:rPr>
      </w:pPr>
      <w:r>
        <w:rPr>
          <w:rFonts w:ascii="Arial" w:hAnsi="Arial" w:cs="Arial"/>
          <w:b/>
          <w:sz w:val="20"/>
          <w:szCs w:val="20"/>
        </w:rPr>
        <w:t>Options Moving Forward</w:t>
      </w:r>
      <w:r w:rsidR="000E2D98" w:rsidRPr="000E2D98">
        <w:rPr>
          <w:rFonts w:ascii="Arial" w:hAnsi="Arial" w:cs="Arial"/>
          <w:b/>
          <w:sz w:val="20"/>
          <w:szCs w:val="20"/>
        </w:rPr>
        <w:t>:</w:t>
      </w:r>
      <w:r w:rsidR="00110E2E">
        <w:rPr>
          <w:rFonts w:ascii="Arial" w:hAnsi="Arial" w:cs="Arial"/>
          <w:b/>
          <w:sz w:val="20"/>
          <w:szCs w:val="20"/>
        </w:rPr>
        <w:t xml:space="preserve"> </w:t>
      </w:r>
      <w:r w:rsidR="00110E2E">
        <w:rPr>
          <w:rFonts w:ascii="Arial" w:hAnsi="Arial" w:cs="Arial"/>
          <w:sz w:val="20"/>
          <w:szCs w:val="20"/>
        </w:rPr>
        <w:t xml:space="preserve">There are </w:t>
      </w:r>
      <w:r w:rsidR="00673884">
        <w:rPr>
          <w:rFonts w:ascii="Arial" w:hAnsi="Arial" w:cs="Arial"/>
          <w:sz w:val="20"/>
          <w:szCs w:val="20"/>
        </w:rPr>
        <w:t>several</w:t>
      </w:r>
      <w:r w:rsidR="00110E2E">
        <w:rPr>
          <w:rFonts w:ascii="Arial" w:hAnsi="Arial" w:cs="Arial"/>
          <w:sz w:val="20"/>
          <w:szCs w:val="20"/>
        </w:rPr>
        <w:t xml:space="preserve"> possible options moving forward as listed below.  A short discussion of each follows.  </w:t>
      </w:r>
    </w:p>
    <w:p w:rsidR="007C668F" w:rsidRDefault="007C668F" w:rsidP="00D66272">
      <w:pPr>
        <w:spacing w:after="0" w:line="240" w:lineRule="auto"/>
        <w:ind w:left="-432" w:right="-432"/>
        <w:jc w:val="both"/>
        <w:rPr>
          <w:rFonts w:ascii="Arial" w:hAnsi="Arial" w:cs="Arial"/>
          <w:b/>
          <w:sz w:val="20"/>
          <w:szCs w:val="20"/>
        </w:rPr>
      </w:pPr>
    </w:p>
    <w:tbl>
      <w:tblPr>
        <w:tblStyle w:val="TableGrid"/>
        <w:tblW w:w="9000" w:type="dxa"/>
        <w:jc w:val="center"/>
        <w:tblLayout w:type="fixed"/>
        <w:tblLook w:val="04A0" w:firstRow="1" w:lastRow="0" w:firstColumn="1" w:lastColumn="0" w:noHBand="0" w:noVBand="1"/>
      </w:tblPr>
      <w:tblGrid>
        <w:gridCol w:w="990"/>
        <w:gridCol w:w="1170"/>
        <w:gridCol w:w="1260"/>
        <w:gridCol w:w="1350"/>
        <w:gridCol w:w="1440"/>
        <w:gridCol w:w="1350"/>
        <w:gridCol w:w="1440"/>
      </w:tblGrid>
      <w:tr w:rsidR="00964ED1" w:rsidTr="00964ED1">
        <w:trPr>
          <w:trHeight w:val="277"/>
          <w:jc w:val="center"/>
        </w:trPr>
        <w:tc>
          <w:tcPr>
            <w:tcW w:w="990" w:type="dxa"/>
            <w:shd w:val="clear" w:color="auto" w:fill="D0CECE" w:themeFill="background2" w:themeFillShade="E6"/>
          </w:tcPr>
          <w:p w:rsidR="00964ED1" w:rsidRDefault="00964ED1" w:rsidP="00456F82">
            <w:pPr>
              <w:ind w:right="-45"/>
              <w:jc w:val="center"/>
              <w:rPr>
                <w:rFonts w:ascii="Arial" w:hAnsi="Arial" w:cs="Arial"/>
                <w:sz w:val="16"/>
                <w:szCs w:val="16"/>
              </w:rPr>
            </w:pPr>
            <w:r>
              <w:rPr>
                <w:rFonts w:ascii="Arial" w:hAnsi="Arial" w:cs="Arial"/>
                <w:sz w:val="16"/>
                <w:szCs w:val="16"/>
              </w:rPr>
              <w:t>Options</w:t>
            </w:r>
          </w:p>
        </w:tc>
        <w:tc>
          <w:tcPr>
            <w:tcW w:w="1170" w:type="dxa"/>
            <w:shd w:val="clear" w:color="auto" w:fill="D0CECE" w:themeFill="background2" w:themeFillShade="E6"/>
          </w:tcPr>
          <w:p w:rsidR="00964ED1" w:rsidRDefault="00964ED1" w:rsidP="00456F82">
            <w:pPr>
              <w:ind w:right="-45"/>
              <w:jc w:val="center"/>
              <w:rPr>
                <w:rFonts w:ascii="Arial" w:hAnsi="Arial" w:cs="Arial"/>
                <w:b/>
                <w:sz w:val="20"/>
                <w:szCs w:val="20"/>
              </w:rPr>
            </w:pPr>
            <w:r>
              <w:rPr>
                <w:rFonts w:ascii="Arial" w:hAnsi="Arial" w:cs="Arial"/>
                <w:sz w:val="16"/>
                <w:szCs w:val="16"/>
              </w:rPr>
              <w:t>Option A</w:t>
            </w:r>
          </w:p>
        </w:tc>
        <w:tc>
          <w:tcPr>
            <w:tcW w:w="1260" w:type="dxa"/>
            <w:shd w:val="clear" w:color="auto" w:fill="D0CECE" w:themeFill="background2" w:themeFillShade="E6"/>
          </w:tcPr>
          <w:p w:rsidR="00964ED1" w:rsidRPr="0052059B" w:rsidRDefault="00964ED1" w:rsidP="00456F82">
            <w:pPr>
              <w:ind w:right="-7"/>
              <w:jc w:val="center"/>
              <w:rPr>
                <w:rFonts w:ascii="Arial" w:hAnsi="Arial" w:cs="Arial"/>
                <w:b/>
                <w:sz w:val="18"/>
                <w:szCs w:val="18"/>
              </w:rPr>
            </w:pPr>
            <w:r>
              <w:rPr>
                <w:rFonts w:ascii="Arial" w:hAnsi="Arial" w:cs="Arial"/>
                <w:sz w:val="16"/>
                <w:szCs w:val="16"/>
              </w:rPr>
              <w:t>Option B</w:t>
            </w:r>
          </w:p>
        </w:tc>
        <w:tc>
          <w:tcPr>
            <w:tcW w:w="1350" w:type="dxa"/>
            <w:shd w:val="clear" w:color="auto" w:fill="D0CECE" w:themeFill="background2" w:themeFillShade="E6"/>
          </w:tcPr>
          <w:p w:rsidR="00964ED1" w:rsidRPr="0052059B" w:rsidRDefault="00964ED1" w:rsidP="00456F82">
            <w:pPr>
              <w:ind w:right="-7"/>
              <w:jc w:val="center"/>
              <w:rPr>
                <w:rFonts w:ascii="Arial" w:hAnsi="Arial" w:cs="Arial"/>
                <w:b/>
                <w:sz w:val="18"/>
                <w:szCs w:val="18"/>
              </w:rPr>
            </w:pPr>
            <w:r>
              <w:rPr>
                <w:rFonts w:ascii="Arial" w:hAnsi="Arial" w:cs="Arial"/>
                <w:sz w:val="16"/>
                <w:szCs w:val="16"/>
              </w:rPr>
              <w:t>Option C</w:t>
            </w:r>
          </w:p>
        </w:tc>
        <w:tc>
          <w:tcPr>
            <w:tcW w:w="1440" w:type="dxa"/>
            <w:shd w:val="clear" w:color="auto" w:fill="D0CECE" w:themeFill="background2" w:themeFillShade="E6"/>
          </w:tcPr>
          <w:p w:rsidR="00964ED1" w:rsidRPr="0052059B" w:rsidRDefault="00964ED1" w:rsidP="00456F82">
            <w:pPr>
              <w:ind w:right="-7"/>
              <w:jc w:val="center"/>
              <w:rPr>
                <w:rFonts w:ascii="Arial" w:hAnsi="Arial" w:cs="Arial"/>
                <w:b/>
                <w:sz w:val="18"/>
                <w:szCs w:val="18"/>
              </w:rPr>
            </w:pPr>
            <w:r>
              <w:rPr>
                <w:rFonts w:ascii="Arial" w:hAnsi="Arial" w:cs="Arial"/>
                <w:sz w:val="16"/>
                <w:szCs w:val="16"/>
              </w:rPr>
              <w:t>Option D</w:t>
            </w:r>
          </w:p>
        </w:tc>
        <w:tc>
          <w:tcPr>
            <w:tcW w:w="1350" w:type="dxa"/>
            <w:shd w:val="clear" w:color="auto" w:fill="D0CECE" w:themeFill="background2" w:themeFillShade="E6"/>
          </w:tcPr>
          <w:p w:rsidR="00964ED1" w:rsidRPr="0052059B" w:rsidRDefault="00964ED1" w:rsidP="00456F82">
            <w:pPr>
              <w:ind w:right="-7"/>
              <w:jc w:val="center"/>
              <w:rPr>
                <w:rFonts w:ascii="Arial" w:hAnsi="Arial" w:cs="Arial"/>
                <w:b/>
                <w:sz w:val="18"/>
                <w:szCs w:val="18"/>
              </w:rPr>
            </w:pPr>
            <w:r>
              <w:rPr>
                <w:rFonts w:ascii="Arial" w:hAnsi="Arial" w:cs="Arial"/>
                <w:sz w:val="16"/>
                <w:szCs w:val="16"/>
              </w:rPr>
              <w:t>Option E</w:t>
            </w:r>
          </w:p>
        </w:tc>
        <w:tc>
          <w:tcPr>
            <w:tcW w:w="1440" w:type="dxa"/>
            <w:shd w:val="clear" w:color="auto" w:fill="D0CECE" w:themeFill="background2" w:themeFillShade="E6"/>
          </w:tcPr>
          <w:p w:rsidR="00964ED1" w:rsidRDefault="00964ED1" w:rsidP="00456F82">
            <w:pPr>
              <w:ind w:right="-7"/>
              <w:jc w:val="center"/>
              <w:rPr>
                <w:rFonts w:ascii="Arial" w:hAnsi="Arial" w:cs="Arial"/>
                <w:sz w:val="16"/>
                <w:szCs w:val="16"/>
              </w:rPr>
            </w:pPr>
            <w:r>
              <w:rPr>
                <w:rFonts w:ascii="Arial" w:hAnsi="Arial" w:cs="Arial"/>
                <w:sz w:val="16"/>
                <w:szCs w:val="16"/>
              </w:rPr>
              <w:t>Option F</w:t>
            </w:r>
          </w:p>
        </w:tc>
      </w:tr>
      <w:tr w:rsidR="00964ED1" w:rsidTr="00964ED1">
        <w:trPr>
          <w:trHeight w:val="277"/>
          <w:jc w:val="center"/>
        </w:trPr>
        <w:tc>
          <w:tcPr>
            <w:tcW w:w="990" w:type="dxa"/>
            <w:vAlign w:val="center"/>
          </w:tcPr>
          <w:p w:rsidR="00964ED1" w:rsidRDefault="00964ED1" w:rsidP="00AA3E54">
            <w:pPr>
              <w:ind w:right="-45"/>
              <w:rPr>
                <w:rFonts w:ascii="Arial" w:hAnsi="Arial" w:cs="Arial"/>
                <w:sz w:val="16"/>
                <w:szCs w:val="16"/>
              </w:rPr>
            </w:pPr>
            <w:r>
              <w:rPr>
                <w:rFonts w:ascii="Arial" w:hAnsi="Arial" w:cs="Arial"/>
                <w:sz w:val="16"/>
                <w:szCs w:val="16"/>
              </w:rPr>
              <w:t>Description</w:t>
            </w:r>
          </w:p>
        </w:tc>
        <w:tc>
          <w:tcPr>
            <w:tcW w:w="1170" w:type="dxa"/>
            <w:vAlign w:val="center"/>
          </w:tcPr>
          <w:p w:rsidR="00964ED1" w:rsidRDefault="00964ED1" w:rsidP="00AA3E54">
            <w:pPr>
              <w:ind w:right="-45"/>
              <w:rPr>
                <w:rFonts w:ascii="Arial" w:hAnsi="Arial" w:cs="Arial"/>
                <w:sz w:val="16"/>
                <w:szCs w:val="16"/>
              </w:rPr>
            </w:pPr>
            <w:r>
              <w:rPr>
                <w:rFonts w:ascii="Arial" w:hAnsi="Arial" w:cs="Arial"/>
                <w:sz w:val="16"/>
                <w:szCs w:val="16"/>
              </w:rPr>
              <w:t>Resubmit the PS&amp;E as is and re-let in early 2018, hoping for lower bids.</w:t>
            </w:r>
          </w:p>
          <w:p w:rsidR="006C6E1B" w:rsidRDefault="006C6E1B" w:rsidP="00AA3E54">
            <w:pPr>
              <w:ind w:right="-45"/>
              <w:rPr>
                <w:rFonts w:ascii="Arial" w:hAnsi="Arial" w:cs="Arial"/>
                <w:sz w:val="16"/>
                <w:szCs w:val="16"/>
              </w:rPr>
            </w:pPr>
          </w:p>
          <w:p w:rsidR="006C6E1B" w:rsidRDefault="006C6E1B" w:rsidP="00AA3E54">
            <w:pPr>
              <w:ind w:right="-45"/>
              <w:rPr>
                <w:rFonts w:ascii="Arial" w:hAnsi="Arial" w:cs="Arial"/>
                <w:sz w:val="16"/>
                <w:szCs w:val="16"/>
              </w:rPr>
            </w:pPr>
          </w:p>
          <w:p w:rsidR="006C6E1B" w:rsidRPr="00512FDC" w:rsidRDefault="006C6E1B" w:rsidP="00AA3E54">
            <w:pPr>
              <w:ind w:right="-45"/>
              <w:rPr>
                <w:rFonts w:ascii="Arial" w:hAnsi="Arial" w:cs="Arial"/>
                <w:sz w:val="16"/>
                <w:szCs w:val="16"/>
              </w:rPr>
            </w:pPr>
          </w:p>
        </w:tc>
        <w:tc>
          <w:tcPr>
            <w:tcW w:w="1260" w:type="dxa"/>
            <w:vAlign w:val="center"/>
          </w:tcPr>
          <w:p w:rsidR="00964ED1" w:rsidRPr="00922C8C" w:rsidRDefault="00964ED1" w:rsidP="00AA3E54">
            <w:pPr>
              <w:ind w:right="-7"/>
              <w:rPr>
                <w:rFonts w:ascii="Arial" w:hAnsi="Arial" w:cs="Arial"/>
                <w:sz w:val="16"/>
                <w:szCs w:val="16"/>
              </w:rPr>
            </w:pPr>
            <w:r w:rsidRPr="00AA3E54">
              <w:rPr>
                <w:rFonts w:ascii="Arial" w:hAnsi="Arial" w:cs="Arial"/>
                <w:sz w:val="16"/>
                <w:szCs w:val="16"/>
              </w:rPr>
              <w:t>Speak with the Town about completing work partially bet</w:t>
            </w:r>
            <w:r>
              <w:rPr>
                <w:rFonts w:ascii="Arial" w:hAnsi="Arial" w:cs="Arial"/>
                <w:sz w:val="16"/>
                <w:szCs w:val="16"/>
              </w:rPr>
              <w:t>ween Memorial Day and Labor Day.</w:t>
            </w:r>
          </w:p>
          <w:p w:rsidR="00964ED1" w:rsidRPr="00512FDC" w:rsidRDefault="00964ED1" w:rsidP="00AA3E54">
            <w:pPr>
              <w:ind w:right="-80"/>
              <w:rPr>
                <w:rFonts w:ascii="Arial" w:hAnsi="Arial" w:cs="Arial"/>
                <w:sz w:val="16"/>
                <w:szCs w:val="16"/>
              </w:rPr>
            </w:pPr>
          </w:p>
        </w:tc>
        <w:tc>
          <w:tcPr>
            <w:tcW w:w="1350" w:type="dxa"/>
            <w:vAlign w:val="center"/>
          </w:tcPr>
          <w:p w:rsidR="00964ED1" w:rsidRDefault="00964ED1" w:rsidP="00AA3E54">
            <w:pPr>
              <w:ind w:right="-7"/>
              <w:rPr>
                <w:rFonts w:ascii="Arial" w:hAnsi="Arial" w:cs="Arial"/>
                <w:sz w:val="16"/>
                <w:szCs w:val="16"/>
              </w:rPr>
            </w:pPr>
            <w:r>
              <w:rPr>
                <w:rFonts w:ascii="Arial" w:hAnsi="Arial" w:cs="Arial"/>
                <w:sz w:val="16"/>
                <w:szCs w:val="16"/>
              </w:rPr>
              <w:t>Check if another funding source is available to cover the amount over $843,000.</w:t>
            </w:r>
          </w:p>
          <w:p w:rsidR="006C6E1B" w:rsidRPr="00922C8C" w:rsidRDefault="006C6E1B" w:rsidP="00AA3E54">
            <w:pPr>
              <w:ind w:right="-7"/>
              <w:rPr>
                <w:rFonts w:ascii="Arial" w:hAnsi="Arial" w:cs="Arial"/>
                <w:sz w:val="16"/>
                <w:szCs w:val="16"/>
              </w:rPr>
            </w:pPr>
          </w:p>
          <w:p w:rsidR="00964ED1" w:rsidRPr="00512FDC" w:rsidRDefault="00964ED1" w:rsidP="00AA3E54">
            <w:pPr>
              <w:ind w:right="-7"/>
              <w:rPr>
                <w:rFonts w:ascii="Arial" w:hAnsi="Arial" w:cs="Arial"/>
                <w:sz w:val="16"/>
                <w:szCs w:val="16"/>
              </w:rPr>
            </w:pPr>
          </w:p>
        </w:tc>
        <w:tc>
          <w:tcPr>
            <w:tcW w:w="1440" w:type="dxa"/>
            <w:vAlign w:val="center"/>
          </w:tcPr>
          <w:p w:rsidR="00964ED1" w:rsidRPr="00922C8C" w:rsidRDefault="00964ED1" w:rsidP="00AA3E54">
            <w:pPr>
              <w:ind w:right="-7"/>
              <w:rPr>
                <w:rFonts w:ascii="Arial" w:hAnsi="Arial" w:cs="Arial"/>
                <w:sz w:val="16"/>
                <w:szCs w:val="16"/>
              </w:rPr>
            </w:pPr>
            <w:r w:rsidRPr="00AA3E54">
              <w:rPr>
                <w:rFonts w:ascii="Arial" w:hAnsi="Arial" w:cs="Arial"/>
                <w:sz w:val="16"/>
                <w:szCs w:val="16"/>
              </w:rPr>
              <w:t>Change the proposed treatment from pulverize &amp; overlay &amp; shoulder widening to mill &amp; overlay.</w:t>
            </w:r>
          </w:p>
          <w:p w:rsidR="00964ED1" w:rsidRPr="008439AB" w:rsidRDefault="00964ED1" w:rsidP="00AA3E54">
            <w:pPr>
              <w:pStyle w:val="ListParagraph"/>
              <w:ind w:left="349" w:right="-7"/>
              <w:rPr>
                <w:rFonts w:ascii="Arial" w:hAnsi="Arial" w:cs="Arial"/>
                <w:sz w:val="16"/>
                <w:szCs w:val="16"/>
              </w:rPr>
            </w:pPr>
          </w:p>
        </w:tc>
        <w:tc>
          <w:tcPr>
            <w:tcW w:w="1350" w:type="dxa"/>
            <w:vAlign w:val="center"/>
          </w:tcPr>
          <w:p w:rsidR="00964ED1" w:rsidRPr="00850985" w:rsidRDefault="00964ED1" w:rsidP="00AA3E54">
            <w:pPr>
              <w:ind w:right="-18"/>
              <w:rPr>
                <w:rFonts w:ascii="Arial" w:hAnsi="Arial" w:cs="Arial"/>
                <w:sz w:val="16"/>
                <w:szCs w:val="16"/>
              </w:rPr>
            </w:pPr>
            <w:r w:rsidRPr="00AA3E54">
              <w:rPr>
                <w:rFonts w:ascii="Arial" w:hAnsi="Arial" w:cs="Arial"/>
                <w:sz w:val="16"/>
                <w:szCs w:val="16"/>
              </w:rPr>
              <w:t>Change the proposed treatment from pulverize &amp; ove</w:t>
            </w:r>
            <w:r>
              <w:rPr>
                <w:rFonts w:ascii="Arial" w:hAnsi="Arial" w:cs="Arial"/>
                <w:sz w:val="16"/>
                <w:szCs w:val="16"/>
              </w:rPr>
              <w:t>rlay &amp; shoulder widening to cold in-place recycling</w:t>
            </w:r>
            <w:r w:rsidRPr="00AA3E54">
              <w:rPr>
                <w:rFonts w:ascii="Arial" w:hAnsi="Arial" w:cs="Arial"/>
                <w:sz w:val="16"/>
                <w:szCs w:val="16"/>
              </w:rPr>
              <w:t>.</w:t>
            </w:r>
          </w:p>
        </w:tc>
        <w:tc>
          <w:tcPr>
            <w:tcW w:w="1440" w:type="dxa"/>
            <w:vAlign w:val="center"/>
          </w:tcPr>
          <w:p w:rsidR="00964ED1" w:rsidRPr="00922C8C" w:rsidRDefault="00964ED1" w:rsidP="00AA3E54">
            <w:pPr>
              <w:ind w:right="-7"/>
              <w:rPr>
                <w:rFonts w:ascii="Arial" w:hAnsi="Arial" w:cs="Arial"/>
                <w:sz w:val="16"/>
                <w:szCs w:val="16"/>
              </w:rPr>
            </w:pPr>
            <w:r>
              <w:rPr>
                <w:rFonts w:ascii="Arial" w:hAnsi="Arial" w:cs="Arial"/>
                <w:sz w:val="16"/>
                <w:szCs w:val="16"/>
              </w:rPr>
              <w:t>Change the proposed treatment to pulverize &amp; overlay with the shoulder widening eliminated.</w:t>
            </w:r>
          </w:p>
          <w:p w:rsidR="00964ED1" w:rsidRDefault="00964ED1" w:rsidP="00AA3E54">
            <w:pPr>
              <w:ind w:right="-18"/>
              <w:rPr>
                <w:rFonts w:ascii="Arial" w:hAnsi="Arial" w:cs="Arial"/>
                <w:sz w:val="16"/>
                <w:szCs w:val="16"/>
              </w:rPr>
            </w:pPr>
          </w:p>
        </w:tc>
      </w:tr>
    </w:tbl>
    <w:p w:rsidR="0092578F" w:rsidRPr="0047378E" w:rsidRDefault="0092578F" w:rsidP="0047378E">
      <w:pPr>
        <w:spacing w:after="0"/>
        <w:rPr>
          <w:sz w:val="16"/>
          <w:szCs w:val="16"/>
        </w:rPr>
      </w:pPr>
    </w:p>
    <w:p w:rsidR="00110E2E" w:rsidRPr="00240498" w:rsidRDefault="00110E2E" w:rsidP="001A1AFE">
      <w:pPr>
        <w:spacing w:line="240" w:lineRule="auto"/>
        <w:rPr>
          <w:rFonts w:ascii="Arial" w:hAnsi="Arial" w:cs="Arial"/>
          <w:sz w:val="20"/>
          <w:szCs w:val="20"/>
        </w:rPr>
      </w:pPr>
      <w:r w:rsidRPr="00240498">
        <w:rPr>
          <w:rFonts w:ascii="Arial" w:hAnsi="Arial" w:cs="Arial"/>
          <w:sz w:val="20"/>
          <w:szCs w:val="20"/>
        </w:rPr>
        <w:t xml:space="preserve">Option A: </w:t>
      </w:r>
      <w:r w:rsidR="00A420E4" w:rsidRPr="00240498">
        <w:rPr>
          <w:rFonts w:ascii="Arial" w:hAnsi="Arial" w:cs="Arial"/>
          <w:sz w:val="20"/>
          <w:szCs w:val="20"/>
        </w:rPr>
        <w:t xml:space="preserve"> </w:t>
      </w:r>
      <w:r w:rsidRPr="00240498">
        <w:rPr>
          <w:rFonts w:ascii="Arial" w:hAnsi="Arial" w:cs="Arial"/>
          <w:sz w:val="20"/>
          <w:szCs w:val="20"/>
        </w:rPr>
        <w:t xml:space="preserve">Resubmitting the PS&amp;E as is with no changes and then reletting the project in early 2018 requires the least amount of effort.  While the reletting of the project well before the upcoming full </w:t>
      </w:r>
      <w:r w:rsidR="0049305A" w:rsidRPr="00240498">
        <w:rPr>
          <w:rFonts w:ascii="Arial" w:hAnsi="Arial" w:cs="Arial"/>
          <w:sz w:val="20"/>
          <w:szCs w:val="20"/>
        </w:rPr>
        <w:t xml:space="preserve">2018 construction season would likely increase competition and/or result in lower bid prices, </w:t>
      </w:r>
      <w:r w:rsidRPr="00240498">
        <w:rPr>
          <w:rFonts w:ascii="Arial" w:hAnsi="Arial" w:cs="Arial"/>
          <w:sz w:val="20"/>
          <w:szCs w:val="20"/>
        </w:rPr>
        <w:t>NWR expects the same result to happen, though</w:t>
      </w:r>
      <w:r w:rsidR="0049305A" w:rsidRPr="00240498">
        <w:rPr>
          <w:rFonts w:ascii="Arial" w:hAnsi="Arial" w:cs="Arial"/>
          <w:sz w:val="20"/>
          <w:szCs w:val="20"/>
        </w:rPr>
        <w:t>, just</w:t>
      </w:r>
      <w:r w:rsidRPr="00240498">
        <w:rPr>
          <w:rFonts w:ascii="Arial" w:hAnsi="Arial" w:cs="Arial"/>
          <w:sz w:val="20"/>
          <w:szCs w:val="20"/>
        </w:rPr>
        <w:t xml:space="preserve"> to a lesser degree.  Instead of the low contractor bid coming in $358,000 over Westbrook’s estimate, </w:t>
      </w:r>
      <w:r w:rsidRPr="00240498">
        <w:rPr>
          <w:rFonts w:ascii="Arial" w:hAnsi="Arial" w:cs="Arial"/>
          <w:sz w:val="20"/>
          <w:szCs w:val="20"/>
        </w:rPr>
        <w:lastRenderedPageBreak/>
        <w:t xml:space="preserve">it may come in $100,000 over (or something similar).  The Town will likely find this unacceptable and request to reject the bid for a second time.  </w:t>
      </w:r>
    </w:p>
    <w:p w:rsidR="00110E2E" w:rsidRPr="00240498" w:rsidRDefault="00110E2E" w:rsidP="001A1AFE">
      <w:pPr>
        <w:spacing w:line="240" w:lineRule="auto"/>
        <w:rPr>
          <w:rFonts w:ascii="Arial" w:hAnsi="Arial" w:cs="Arial"/>
          <w:sz w:val="20"/>
          <w:szCs w:val="20"/>
        </w:rPr>
      </w:pPr>
      <w:r w:rsidRPr="00240498">
        <w:rPr>
          <w:rFonts w:ascii="Arial" w:hAnsi="Arial" w:cs="Arial"/>
          <w:sz w:val="20"/>
          <w:szCs w:val="20"/>
        </w:rPr>
        <w:t xml:space="preserve">Option B: Speaking with the Town about completing project work partially between Memorial Day and Labor Day would also require minimal effort.  While the absence of any </w:t>
      </w:r>
      <w:r w:rsidR="0049305A" w:rsidRPr="00240498">
        <w:rPr>
          <w:rFonts w:ascii="Arial" w:hAnsi="Arial" w:cs="Arial"/>
          <w:sz w:val="20"/>
          <w:szCs w:val="20"/>
        </w:rPr>
        <w:t xml:space="preserve">possible </w:t>
      </w:r>
      <w:r w:rsidRPr="00240498">
        <w:rPr>
          <w:rFonts w:ascii="Arial" w:hAnsi="Arial" w:cs="Arial"/>
          <w:sz w:val="20"/>
          <w:szCs w:val="20"/>
        </w:rPr>
        <w:t>lengthy work stoppage wou</w:t>
      </w:r>
      <w:r w:rsidR="0049305A" w:rsidRPr="00240498">
        <w:rPr>
          <w:rFonts w:ascii="Arial" w:hAnsi="Arial" w:cs="Arial"/>
          <w:sz w:val="20"/>
          <w:szCs w:val="20"/>
        </w:rPr>
        <w:t xml:space="preserve">ld likely result in lower bid prices, NWR expects the same result to happen as described in Option A above.  Option B could be combined with a couple of the following options and prove successful, though.  </w:t>
      </w:r>
    </w:p>
    <w:p w:rsidR="00A30BB7" w:rsidRPr="00240498" w:rsidRDefault="0049305A" w:rsidP="001A1AFE">
      <w:pPr>
        <w:spacing w:line="240" w:lineRule="auto"/>
        <w:rPr>
          <w:rFonts w:ascii="Arial" w:hAnsi="Arial" w:cs="Arial"/>
          <w:sz w:val="20"/>
          <w:szCs w:val="20"/>
        </w:rPr>
      </w:pPr>
      <w:r w:rsidRPr="00240498">
        <w:rPr>
          <w:rFonts w:ascii="Arial" w:hAnsi="Arial" w:cs="Arial"/>
          <w:sz w:val="20"/>
          <w:szCs w:val="20"/>
        </w:rPr>
        <w:t xml:space="preserve">Option C: Checking if another funding source is available to cover the amount over $843,000 would also require minimal effort.  Bill Zimmer could take the lead on this option to see if there are any other such sources.  </w:t>
      </w:r>
    </w:p>
    <w:p w:rsidR="0047378E" w:rsidRPr="00240498" w:rsidRDefault="0049305A" w:rsidP="001A1AFE">
      <w:pPr>
        <w:spacing w:line="240" w:lineRule="auto"/>
        <w:rPr>
          <w:rFonts w:ascii="Arial" w:hAnsi="Arial" w:cs="Arial"/>
          <w:sz w:val="20"/>
          <w:szCs w:val="20"/>
        </w:rPr>
      </w:pPr>
      <w:r w:rsidRPr="00240498">
        <w:rPr>
          <w:rFonts w:ascii="Arial" w:hAnsi="Arial" w:cs="Arial"/>
          <w:sz w:val="20"/>
          <w:szCs w:val="20"/>
        </w:rPr>
        <w:t>Option D: Changing the proposed treatment from pulverize &amp; overlay &amp; shoulder widening to mill &amp; overlay would take considerable effort.</w:t>
      </w:r>
      <w:r w:rsidR="00B94F13" w:rsidRPr="00240498">
        <w:rPr>
          <w:rFonts w:ascii="Arial" w:hAnsi="Arial" w:cs="Arial"/>
          <w:sz w:val="20"/>
          <w:szCs w:val="20"/>
        </w:rPr>
        <w:t xml:space="preserve">  Because FLAP and NPS funds are used for this project, this change in project treatment would also have to be approved by those two entities.  If approved, this change would result in considerably lower bids as the items Common Excavation (shoulder widening) and Base Aggregate (base aggregate lift and shoulder widening) would basically be eliminated.  There would be a loss in roadway operations (less shoulder and overall width) and likely pavement life (less pavement substructure).  This option could be combined with Option B for further bid reduction.  </w:t>
      </w:r>
    </w:p>
    <w:p w:rsidR="00B94F13" w:rsidRPr="00240498" w:rsidRDefault="00B94F13" w:rsidP="00B94F13">
      <w:pPr>
        <w:spacing w:line="240" w:lineRule="auto"/>
        <w:rPr>
          <w:rFonts w:ascii="Arial" w:hAnsi="Arial" w:cs="Arial"/>
          <w:sz w:val="20"/>
          <w:szCs w:val="20"/>
        </w:rPr>
      </w:pPr>
      <w:r w:rsidRPr="00240498">
        <w:rPr>
          <w:rFonts w:ascii="Arial" w:hAnsi="Arial" w:cs="Arial"/>
          <w:sz w:val="20"/>
          <w:szCs w:val="20"/>
        </w:rPr>
        <w:t xml:space="preserve">Option E: Changing the proposed treatment from pulverize &amp; overlay &amp; shoulder widening to cold in-place recycling would take considerable effort.  Because FLAP and NPS funds are used for this project, this change in project treatment would also have to be approved by those two entities.  If approved, this change would result in considerably lower bids as the items Common Excavation (shoulder widening) and Base Aggregate (base aggregate lift and shoulder widening) would basically be eliminated.  There would be a loss in roadway operations (less shoulder and overall width) and likely pavement life (less pavement substructure).  This option could be combined with Option B for further bid reduction.  </w:t>
      </w:r>
    </w:p>
    <w:p w:rsidR="00932700" w:rsidRPr="00240498" w:rsidRDefault="00932700" w:rsidP="00B94F13">
      <w:pPr>
        <w:spacing w:line="240" w:lineRule="auto"/>
        <w:rPr>
          <w:rFonts w:ascii="Arial" w:hAnsi="Arial" w:cs="Arial"/>
          <w:sz w:val="20"/>
          <w:szCs w:val="20"/>
        </w:rPr>
      </w:pPr>
      <w:r w:rsidRPr="00240498">
        <w:rPr>
          <w:rFonts w:ascii="Arial" w:hAnsi="Arial" w:cs="Arial"/>
          <w:sz w:val="20"/>
          <w:szCs w:val="20"/>
        </w:rPr>
        <w:t xml:space="preserve">Option F: </w:t>
      </w:r>
      <w:r w:rsidR="00896680" w:rsidRPr="00240498">
        <w:rPr>
          <w:rFonts w:ascii="Arial" w:hAnsi="Arial" w:cs="Arial"/>
          <w:sz w:val="20"/>
          <w:szCs w:val="20"/>
        </w:rPr>
        <w:t>Changing the proposed treatment to pulverize &amp; overlay with the shoulder widening eliminated would take considerable effort.  Because FLAP and NPS funds are used for this project, this change in project treatment would also have to be approved by those two entities.  If approved, this change would result in considerably lower bids as the items Common Excavation (shoulder widening) and Base Aggregate (shoulder widening) would basically be eliminated</w:t>
      </w:r>
      <w:r w:rsidR="00D90484">
        <w:rPr>
          <w:rFonts w:ascii="Arial" w:hAnsi="Arial" w:cs="Arial"/>
          <w:sz w:val="20"/>
          <w:szCs w:val="20"/>
        </w:rPr>
        <w:t>,</w:t>
      </w:r>
      <w:r w:rsidR="00896680" w:rsidRPr="00240498">
        <w:rPr>
          <w:rFonts w:ascii="Arial" w:hAnsi="Arial" w:cs="Arial"/>
          <w:sz w:val="20"/>
          <w:szCs w:val="20"/>
        </w:rPr>
        <w:t xml:space="preserve"> other than the base aggregate lift.  There would be a loss in roadway operations (less shoulder and overall width) with the shoulder widths </w:t>
      </w:r>
      <w:r w:rsidR="00F70ED7" w:rsidRPr="00240498">
        <w:rPr>
          <w:rFonts w:ascii="Arial" w:hAnsi="Arial" w:cs="Arial"/>
          <w:sz w:val="20"/>
          <w:szCs w:val="20"/>
        </w:rPr>
        <w:t>becoming</w:t>
      </w:r>
      <w:r w:rsidR="00896680" w:rsidRPr="00240498">
        <w:rPr>
          <w:rFonts w:ascii="Arial" w:hAnsi="Arial" w:cs="Arial"/>
          <w:sz w:val="20"/>
          <w:szCs w:val="20"/>
        </w:rPr>
        <w:t xml:space="preserve"> less than even the existing widths due to the pulverize &amp; overlay slightly raising the vertical profile.  This option could be combined with Option B for further bid reduction.  </w:t>
      </w:r>
    </w:p>
    <w:p w:rsidR="00B94F13" w:rsidRDefault="00B94F13"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p w:rsidR="00896680" w:rsidRDefault="00896680" w:rsidP="001A1AFE">
      <w:pPr>
        <w:spacing w:line="240" w:lineRule="auto"/>
        <w:rPr>
          <w:sz w:val="24"/>
          <w:szCs w:val="24"/>
        </w:rPr>
      </w:pPr>
    </w:p>
    <w:tbl>
      <w:tblPr>
        <w:tblStyle w:val="TableGrid"/>
        <w:tblW w:w="0" w:type="auto"/>
        <w:tblLook w:val="04A0" w:firstRow="1" w:lastRow="0" w:firstColumn="1" w:lastColumn="0" w:noHBand="0" w:noVBand="1"/>
      </w:tblPr>
      <w:tblGrid>
        <w:gridCol w:w="1615"/>
        <w:gridCol w:w="2430"/>
        <w:gridCol w:w="1565"/>
        <w:gridCol w:w="2035"/>
        <w:gridCol w:w="1705"/>
      </w:tblGrid>
      <w:tr w:rsidR="0047378E" w:rsidRPr="0047378E" w:rsidTr="009528E2">
        <w:tc>
          <w:tcPr>
            <w:tcW w:w="1615" w:type="dxa"/>
            <w:shd w:val="clear" w:color="auto" w:fill="D0CECE" w:themeFill="background2" w:themeFillShade="E6"/>
          </w:tcPr>
          <w:p w:rsidR="0047378E" w:rsidRPr="009528E2" w:rsidRDefault="0047378E" w:rsidP="0028532B">
            <w:pPr>
              <w:rPr>
                <w:color w:val="000000" w:themeColor="text1"/>
                <w:sz w:val="16"/>
                <w:szCs w:val="16"/>
              </w:rPr>
            </w:pPr>
            <w:r w:rsidRPr="009528E2">
              <w:rPr>
                <w:color w:val="000000" w:themeColor="text1"/>
                <w:sz w:val="16"/>
                <w:szCs w:val="16"/>
              </w:rPr>
              <w:t>Item Number</w:t>
            </w:r>
          </w:p>
        </w:tc>
        <w:tc>
          <w:tcPr>
            <w:tcW w:w="2430" w:type="dxa"/>
            <w:shd w:val="clear" w:color="auto" w:fill="D0CECE" w:themeFill="background2" w:themeFillShade="E6"/>
          </w:tcPr>
          <w:p w:rsidR="0047378E" w:rsidRPr="009528E2" w:rsidRDefault="0047378E" w:rsidP="0028532B">
            <w:pPr>
              <w:rPr>
                <w:color w:val="000000" w:themeColor="text1"/>
                <w:sz w:val="16"/>
                <w:szCs w:val="16"/>
              </w:rPr>
            </w:pPr>
            <w:r w:rsidRPr="009528E2">
              <w:rPr>
                <w:color w:val="000000" w:themeColor="text1"/>
                <w:sz w:val="16"/>
                <w:szCs w:val="16"/>
              </w:rPr>
              <w:t>Item</w:t>
            </w:r>
          </w:p>
        </w:tc>
        <w:tc>
          <w:tcPr>
            <w:tcW w:w="1565" w:type="dxa"/>
            <w:shd w:val="clear" w:color="auto" w:fill="D0CECE" w:themeFill="background2" w:themeFillShade="E6"/>
          </w:tcPr>
          <w:p w:rsidR="0047378E" w:rsidRPr="009528E2" w:rsidRDefault="0047378E" w:rsidP="0028532B">
            <w:pPr>
              <w:rPr>
                <w:color w:val="000000" w:themeColor="text1"/>
                <w:sz w:val="16"/>
                <w:szCs w:val="16"/>
              </w:rPr>
            </w:pPr>
            <w:r w:rsidRPr="009528E2">
              <w:rPr>
                <w:color w:val="000000" w:themeColor="text1"/>
                <w:sz w:val="16"/>
                <w:szCs w:val="16"/>
              </w:rPr>
              <w:t>Quantity</w:t>
            </w:r>
            <w:r w:rsidR="001A1AFE" w:rsidRPr="009528E2">
              <w:rPr>
                <w:color w:val="000000" w:themeColor="text1"/>
                <w:sz w:val="16"/>
                <w:szCs w:val="16"/>
              </w:rPr>
              <w:t>*</w:t>
            </w:r>
          </w:p>
        </w:tc>
        <w:tc>
          <w:tcPr>
            <w:tcW w:w="2035" w:type="dxa"/>
            <w:shd w:val="clear" w:color="auto" w:fill="D0CECE" w:themeFill="background2" w:themeFillShade="E6"/>
          </w:tcPr>
          <w:p w:rsidR="0047378E" w:rsidRPr="009528E2" w:rsidRDefault="0047378E" w:rsidP="0028532B">
            <w:pPr>
              <w:rPr>
                <w:color w:val="000000" w:themeColor="text1"/>
                <w:sz w:val="16"/>
                <w:szCs w:val="16"/>
              </w:rPr>
            </w:pPr>
            <w:r w:rsidRPr="009528E2">
              <w:rPr>
                <w:color w:val="000000" w:themeColor="text1"/>
                <w:sz w:val="16"/>
                <w:szCs w:val="16"/>
              </w:rPr>
              <w:t>Unit Cost</w:t>
            </w:r>
          </w:p>
        </w:tc>
        <w:tc>
          <w:tcPr>
            <w:tcW w:w="1705" w:type="dxa"/>
            <w:shd w:val="clear" w:color="auto" w:fill="D0CECE" w:themeFill="background2" w:themeFillShade="E6"/>
          </w:tcPr>
          <w:p w:rsidR="0047378E" w:rsidRPr="009528E2" w:rsidRDefault="0047378E" w:rsidP="0028532B">
            <w:pPr>
              <w:rPr>
                <w:color w:val="000000" w:themeColor="text1"/>
                <w:sz w:val="16"/>
                <w:szCs w:val="16"/>
              </w:rPr>
            </w:pPr>
            <w:r w:rsidRPr="009528E2">
              <w:rPr>
                <w:color w:val="000000" w:themeColor="text1"/>
                <w:sz w:val="16"/>
                <w:szCs w:val="16"/>
              </w:rPr>
              <w:t>Item Cost</w:t>
            </w:r>
          </w:p>
        </w:tc>
      </w:tr>
      <w:tr w:rsidR="0047378E" w:rsidRPr="0047378E" w:rsidTr="0028532B">
        <w:tc>
          <w:tcPr>
            <w:tcW w:w="1615" w:type="dxa"/>
          </w:tcPr>
          <w:p w:rsidR="0047378E" w:rsidRPr="0047378E" w:rsidRDefault="0047378E" w:rsidP="0028532B">
            <w:pPr>
              <w:rPr>
                <w:sz w:val="16"/>
                <w:szCs w:val="16"/>
              </w:rPr>
            </w:pPr>
            <w:r w:rsidRPr="0047378E">
              <w:rPr>
                <w:sz w:val="16"/>
                <w:szCs w:val="16"/>
              </w:rPr>
              <w:t>205.0100</w:t>
            </w:r>
          </w:p>
        </w:tc>
        <w:tc>
          <w:tcPr>
            <w:tcW w:w="2430" w:type="dxa"/>
          </w:tcPr>
          <w:p w:rsidR="0047378E" w:rsidRPr="0047378E" w:rsidRDefault="0047378E" w:rsidP="0028532B">
            <w:pPr>
              <w:rPr>
                <w:sz w:val="16"/>
                <w:szCs w:val="16"/>
              </w:rPr>
            </w:pPr>
            <w:r w:rsidRPr="0047378E">
              <w:rPr>
                <w:sz w:val="16"/>
                <w:szCs w:val="16"/>
              </w:rPr>
              <w:t>Excavation Common</w:t>
            </w:r>
          </w:p>
        </w:tc>
        <w:tc>
          <w:tcPr>
            <w:tcW w:w="1565" w:type="dxa"/>
          </w:tcPr>
          <w:p w:rsidR="0047378E" w:rsidRPr="0047378E" w:rsidRDefault="0047378E" w:rsidP="0028532B">
            <w:pPr>
              <w:rPr>
                <w:sz w:val="16"/>
                <w:szCs w:val="16"/>
              </w:rPr>
            </w:pPr>
          </w:p>
        </w:tc>
        <w:tc>
          <w:tcPr>
            <w:tcW w:w="2035" w:type="dxa"/>
          </w:tcPr>
          <w:p w:rsidR="0047378E" w:rsidRPr="0047378E" w:rsidRDefault="0047378E" w:rsidP="0028532B">
            <w:pPr>
              <w:rPr>
                <w:sz w:val="16"/>
                <w:szCs w:val="16"/>
              </w:rPr>
            </w:pPr>
          </w:p>
        </w:tc>
        <w:tc>
          <w:tcPr>
            <w:tcW w:w="1705" w:type="dxa"/>
          </w:tcPr>
          <w:p w:rsidR="0047378E" w:rsidRPr="0047378E" w:rsidRDefault="0047378E" w:rsidP="0028532B">
            <w:pPr>
              <w:rPr>
                <w:sz w:val="16"/>
                <w:szCs w:val="16"/>
              </w:rPr>
            </w:pPr>
          </w:p>
        </w:tc>
      </w:tr>
      <w:tr w:rsidR="0047378E" w:rsidRPr="0047378E" w:rsidTr="0028532B">
        <w:tc>
          <w:tcPr>
            <w:tcW w:w="1615" w:type="dxa"/>
          </w:tcPr>
          <w:p w:rsidR="0047378E" w:rsidRPr="0047378E" w:rsidRDefault="0047378E" w:rsidP="0028532B">
            <w:pPr>
              <w:rPr>
                <w:sz w:val="16"/>
                <w:szCs w:val="16"/>
              </w:rPr>
            </w:pPr>
          </w:p>
        </w:tc>
        <w:tc>
          <w:tcPr>
            <w:tcW w:w="2430" w:type="dxa"/>
          </w:tcPr>
          <w:p w:rsidR="0047378E" w:rsidRPr="0047378E" w:rsidRDefault="0047378E" w:rsidP="0028532B">
            <w:pPr>
              <w:rPr>
                <w:sz w:val="16"/>
                <w:szCs w:val="16"/>
              </w:rPr>
            </w:pPr>
          </w:p>
        </w:tc>
        <w:tc>
          <w:tcPr>
            <w:tcW w:w="1565" w:type="dxa"/>
          </w:tcPr>
          <w:p w:rsidR="0047378E" w:rsidRPr="0047378E" w:rsidRDefault="0047378E" w:rsidP="0028532B">
            <w:pPr>
              <w:rPr>
                <w:sz w:val="16"/>
                <w:szCs w:val="16"/>
              </w:rPr>
            </w:pPr>
          </w:p>
        </w:tc>
        <w:tc>
          <w:tcPr>
            <w:tcW w:w="2035" w:type="dxa"/>
          </w:tcPr>
          <w:p w:rsidR="0047378E" w:rsidRPr="0047378E" w:rsidRDefault="0047378E" w:rsidP="0028532B">
            <w:pPr>
              <w:rPr>
                <w:sz w:val="16"/>
                <w:szCs w:val="16"/>
              </w:rPr>
            </w:pPr>
          </w:p>
        </w:tc>
        <w:tc>
          <w:tcPr>
            <w:tcW w:w="1705" w:type="dxa"/>
          </w:tcPr>
          <w:p w:rsidR="0047378E" w:rsidRPr="0047378E" w:rsidRDefault="0047378E" w:rsidP="0028532B">
            <w:pPr>
              <w:rPr>
                <w:sz w:val="16"/>
                <w:szCs w:val="16"/>
              </w:rPr>
            </w:pPr>
          </w:p>
        </w:tc>
      </w:tr>
      <w:tr w:rsidR="0047378E" w:rsidRPr="0047378E" w:rsidTr="0028532B">
        <w:tc>
          <w:tcPr>
            <w:tcW w:w="1615" w:type="dxa"/>
          </w:tcPr>
          <w:p w:rsidR="0047378E" w:rsidRPr="0047378E" w:rsidRDefault="0047378E" w:rsidP="0028532B">
            <w:pPr>
              <w:rPr>
                <w:sz w:val="16"/>
                <w:szCs w:val="16"/>
              </w:rPr>
            </w:pPr>
          </w:p>
        </w:tc>
        <w:tc>
          <w:tcPr>
            <w:tcW w:w="2430" w:type="dxa"/>
          </w:tcPr>
          <w:p w:rsidR="0047378E" w:rsidRPr="0047378E" w:rsidRDefault="0047378E" w:rsidP="0028532B">
            <w:pPr>
              <w:rPr>
                <w:sz w:val="16"/>
                <w:szCs w:val="16"/>
              </w:rPr>
            </w:pPr>
          </w:p>
        </w:tc>
        <w:tc>
          <w:tcPr>
            <w:tcW w:w="1565" w:type="dxa"/>
          </w:tcPr>
          <w:p w:rsidR="0047378E" w:rsidRPr="0047378E" w:rsidRDefault="0047378E" w:rsidP="0028532B">
            <w:pPr>
              <w:rPr>
                <w:sz w:val="16"/>
                <w:szCs w:val="16"/>
              </w:rPr>
            </w:pPr>
          </w:p>
        </w:tc>
        <w:tc>
          <w:tcPr>
            <w:tcW w:w="2035" w:type="dxa"/>
          </w:tcPr>
          <w:p w:rsidR="0047378E" w:rsidRPr="0047378E" w:rsidRDefault="0047378E" w:rsidP="0028532B">
            <w:pPr>
              <w:rPr>
                <w:sz w:val="16"/>
                <w:szCs w:val="16"/>
              </w:rPr>
            </w:pPr>
          </w:p>
        </w:tc>
        <w:tc>
          <w:tcPr>
            <w:tcW w:w="1705" w:type="dxa"/>
          </w:tcPr>
          <w:p w:rsidR="0047378E" w:rsidRPr="0047378E" w:rsidRDefault="0047378E" w:rsidP="0028532B">
            <w:pPr>
              <w:rPr>
                <w:sz w:val="16"/>
                <w:szCs w:val="16"/>
              </w:rPr>
            </w:pPr>
          </w:p>
        </w:tc>
      </w:tr>
      <w:tr w:rsidR="0047378E" w:rsidRPr="0047378E" w:rsidTr="0028532B">
        <w:tc>
          <w:tcPr>
            <w:tcW w:w="1615" w:type="dxa"/>
          </w:tcPr>
          <w:p w:rsidR="0047378E" w:rsidRPr="0047378E" w:rsidRDefault="0047378E" w:rsidP="0028532B">
            <w:pPr>
              <w:rPr>
                <w:sz w:val="16"/>
                <w:szCs w:val="16"/>
              </w:rPr>
            </w:pPr>
          </w:p>
        </w:tc>
        <w:tc>
          <w:tcPr>
            <w:tcW w:w="2430" w:type="dxa"/>
          </w:tcPr>
          <w:p w:rsidR="0047378E" w:rsidRPr="0047378E" w:rsidRDefault="0047378E" w:rsidP="0028532B">
            <w:pPr>
              <w:rPr>
                <w:sz w:val="16"/>
                <w:szCs w:val="16"/>
              </w:rPr>
            </w:pPr>
          </w:p>
        </w:tc>
        <w:tc>
          <w:tcPr>
            <w:tcW w:w="1565" w:type="dxa"/>
          </w:tcPr>
          <w:p w:rsidR="0047378E" w:rsidRPr="0047378E" w:rsidRDefault="0047378E" w:rsidP="0028532B">
            <w:pPr>
              <w:rPr>
                <w:sz w:val="16"/>
                <w:szCs w:val="16"/>
              </w:rPr>
            </w:pPr>
          </w:p>
        </w:tc>
        <w:tc>
          <w:tcPr>
            <w:tcW w:w="2035" w:type="dxa"/>
          </w:tcPr>
          <w:p w:rsidR="0047378E" w:rsidRPr="0047378E" w:rsidRDefault="0047378E" w:rsidP="0028532B">
            <w:pPr>
              <w:rPr>
                <w:sz w:val="16"/>
                <w:szCs w:val="16"/>
              </w:rPr>
            </w:pPr>
          </w:p>
        </w:tc>
        <w:tc>
          <w:tcPr>
            <w:tcW w:w="1705" w:type="dxa"/>
          </w:tcPr>
          <w:p w:rsidR="0047378E" w:rsidRPr="0047378E" w:rsidRDefault="0047378E" w:rsidP="0028532B">
            <w:pPr>
              <w:rPr>
                <w:sz w:val="16"/>
                <w:szCs w:val="16"/>
              </w:rPr>
            </w:pPr>
          </w:p>
        </w:tc>
      </w:tr>
      <w:tr w:rsidR="0047378E" w:rsidRPr="0047378E" w:rsidTr="0028532B">
        <w:tc>
          <w:tcPr>
            <w:tcW w:w="1615" w:type="dxa"/>
          </w:tcPr>
          <w:p w:rsidR="0047378E" w:rsidRPr="0047378E" w:rsidRDefault="0047378E" w:rsidP="0028532B">
            <w:pPr>
              <w:rPr>
                <w:sz w:val="16"/>
                <w:szCs w:val="16"/>
              </w:rPr>
            </w:pPr>
          </w:p>
        </w:tc>
        <w:tc>
          <w:tcPr>
            <w:tcW w:w="2430" w:type="dxa"/>
          </w:tcPr>
          <w:p w:rsidR="0047378E" w:rsidRPr="0047378E" w:rsidRDefault="0047378E" w:rsidP="0047378E">
            <w:pPr>
              <w:rPr>
                <w:sz w:val="16"/>
                <w:szCs w:val="16"/>
              </w:rPr>
            </w:pPr>
          </w:p>
        </w:tc>
        <w:tc>
          <w:tcPr>
            <w:tcW w:w="1565" w:type="dxa"/>
          </w:tcPr>
          <w:p w:rsidR="0047378E" w:rsidRPr="0047378E" w:rsidRDefault="0047378E" w:rsidP="0028532B">
            <w:pPr>
              <w:rPr>
                <w:sz w:val="16"/>
                <w:szCs w:val="16"/>
              </w:rPr>
            </w:pPr>
          </w:p>
        </w:tc>
        <w:tc>
          <w:tcPr>
            <w:tcW w:w="2035" w:type="dxa"/>
          </w:tcPr>
          <w:p w:rsidR="0047378E" w:rsidRPr="0047378E" w:rsidRDefault="0047378E" w:rsidP="0028532B">
            <w:pPr>
              <w:rPr>
                <w:sz w:val="16"/>
                <w:szCs w:val="16"/>
              </w:rPr>
            </w:pPr>
          </w:p>
        </w:tc>
        <w:tc>
          <w:tcPr>
            <w:tcW w:w="1705" w:type="dxa"/>
          </w:tcPr>
          <w:p w:rsidR="0047378E" w:rsidRPr="0047378E" w:rsidRDefault="0047378E" w:rsidP="0028532B">
            <w:pPr>
              <w:rPr>
                <w:sz w:val="16"/>
                <w:szCs w:val="16"/>
              </w:rPr>
            </w:pPr>
          </w:p>
        </w:tc>
      </w:tr>
      <w:tr w:rsidR="0047378E" w:rsidRPr="0047378E" w:rsidTr="0028532B">
        <w:tc>
          <w:tcPr>
            <w:tcW w:w="1615" w:type="dxa"/>
          </w:tcPr>
          <w:p w:rsidR="0047378E" w:rsidRPr="0047378E" w:rsidRDefault="0047378E" w:rsidP="0028532B">
            <w:pPr>
              <w:rPr>
                <w:sz w:val="16"/>
                <w:szCs w:val="16"/>
              </w:rPr>
            </w:pPr>
            <w:r w:rsidRPr="0047378E">
              <w:rPr>
                <w:sz w:val="16"/>
                <w:szCs w:val="16"/>
              </w:rPr>
              <w:t>Total</w:t>
            </w:r>
          </w:p>
        </w:tc>
        <w:tc>
          <w:tcPr>
            <w:tcW w:w="2430" w:type="dxa"/>
          </w:tcPr>
          <w:p w:rsidR="0047378E" w:rsidRPr="0047378E" w:rsidRDefault="0047378E" w:rsidP="0028532B">
            <w:pPr>
              <w:rPr>
                <w:sz w:val="16"/>
                <w:szCs w:val="16"/>
              </w:rPr>
            </w:pPr>
          </w:p>
        </w:tc>
        <w:tc>
          <w:tcPr>
            <w:tcW w:w="1565" w:type="dxa"/>
          </w:tcPr>
          <w:p w:rsidR="0047378E" w:rsidRPr="0047378E" w:rsidRDefault="0047378E" w:rsidP="0028532B">
            <w:pPr>
              <w:rPr>
                <w:sz w:val="16"/>
                <w:szCs w:val="16"/>
              </w:rPr>
            </w:pPr>
          </w:p>
        </w:tc>
        <w:tc>
          <w:tcPr>
            <w:tcW w:w="2035" w:type="dxa"/>
          </w:tcPr>
          <w:p w:rsidR="0047378E" w:rsidRPr="0047378E" w:rsidRDefault="0047378E" w:rsidP="0028532B">
            <w:pPr>
              <w:rPr>
                <w:sz w:val="16"/>
                <w:szCs w:val="16"/>
              </w:rPr>
            </w:pPr>
          </w:p>
        </w:tc>
        <w:tc>
          <w:tcPr>
            <w:tcW w:w="1705" w:type="dxa"/>
          </w:tcPr>
          <w:p w:rsidR="0047378E" w:rsidRPr="0047378E" w:rsidRDefault="0047378E" w:rsidP="001A1AFE">
            <w:pPr>
              <w:keepNext/>
              <w:rPr>
                <w:sz w:val="16"/>
                <w:szCs w:val="16"/>
              </w:rPr>
            </w:pPr>
          </w:p>
        </w:tc>
      </w:tr>
    </w:tbl>
    <w:p w:rsidR="001A1AFE" w:rsidRPr="0028746F" w:rsidRDefault="0028746F">
      <w:pPr>
        <w:pStyle w:val="Caption"/>
        <w:rPr>
          <w:color w:val="000000" w:themeColor="text1"/>
        </w:rPr>
      </w:pPr>
      <w:r w:rsidRPr="0028746F">
        <w:rPr>
          <w:color w:val="000000" w:themeColor="text1"/>
        </w:rPr>
        <w:t xml:space="preserve">* </w:t>
      </w:r>
      <w:r w:rsidR="001A1AFE" w:rsidRPr="0028746F">
        <w:rPr>
          <w:color w:val="000000" w:themeColor="text1"/>
        </w:rPr>
        <w:t xml:space="preserve">Quantities are estimated at this time. </w:t>
      </w:r>
    </w:p>
    <w:p w:rsidR="00FC24B1" w:rsidRDefault="0047378E">
      <w:r>
        <w:t>Current Issues and Risks:</w:t>
      </w:r>
    </w:p>
    <w:tbl>
      <w:tblPr>
        <w:tblStyle w:val="TableGrid"/>
        <w:tblW w:w="0" w:type="auto"/>
        <w:tblLook w:val="04A0" w:firstRow="1" w:lastRow="0" w:firstColumn="1" w:lastColumn="0" w:noHBand="0" w:noVBand="1"/>
      </w:tblPr>
      <w:tblGrid>
        <w:gridCol w:w="1870"/>
        <w:gridCol w:w="1870"/>
        <w:gridCol w:w="1475"/>
        <w:gridCol w:w="2265"/>
        <w:gridCol w:w="1870"/>
      </w:tblGrid>
      <w:tr w:rsidR="009528E2" w:rsidRPr="0047378E" w:rsidTr="009528E2">
        <w:tc>
          <w:tcPr>
            <w:tcW w:w="1870" w:type="dxa"/>
            <w:shd w:val="clear" w:color="auto" w:fill="D0CECE" w:themeFill="background2" w:themeFillShade="E6"/>
          </w:tcPr>
          <w:p w:rsidR="009528E2" w:rsidRPr="009528E2" w:rsidRDefault="009528E2" w:rsidP="0028532B">
            <w:pPr>
              <w:rPr>
                <w:sz w:val="16"/>
                <w:szCs w:val="16"/>
              </w:rPr>
            </w:pPr>
            <w:r w:rsidRPr="009528E2">
              <w:rPr>
                <w:sz w:val="16"/>
                <w:szCs w:val="16"/>
              </w:rPr>
              <w:t>Issue/Risk</w:t>
            </w:r>
          </w:p>
        </w:tc>
        <w:tc>
          <w:tcPr>
            <w:tcW w:w="1870" w:type="dxa"/>
            <w:shd w:val="clear" w:color="auto" w:fill="D0CECE" w:themeFill="background2" w:themeFillShade="E6"/>
          </w:tcPr>
          <w:p w:rsidR="009528E2" w:rsidRPr="009528E2" w:rsidRDefault="009528E2" w:rsidP="0028532B">
            <w:pPr>
              <w:rPr>
                <w:sz w:val="16"/>
                <w:szCs w:val="16"/>
              </w:rPr>
            </w:pPr>
            <w:r w:rsidRPr="009528E2">
              <w:rPr>
                <w:sz w:val="16"/>
                <w:szCs w:val="16"/>
              </w:rPr>
              <w:t>Description</w:t>
            </w:r>
          </w:p>
        </w:tc>
        <w:tc>
          <w:tcPr>
            <w:tcW w:w="1475" w:type="dxa"/>
            <w:shd w:val="clear" w:color="auto" w:fill="D0CECE" w:themeFill="background2" w:themeFillShade="E6"/>
          </w:tcPr>
          <w:p w:rsidR="009528E2" w:rsidRPr="009528E2" w:rsidRDefault="009528E2" w:rsidP="0028532B">
            <w:pPr>
              <w:rPr>
                <w:sz w:val="16"/>
                <w:szCs w:val="16"/>
              </w:rPr>
            </w:pPr>
            <w:r w:rsidRPr="009528E2">
              <w:rPr>
                <w:sz w:val="16"/>
                <w:szCs w:val="16"/>
              </w:rPr>
              <w:t>Probability</w:t>
            </w:r>
          </w:p>
        </w:tc>
        <w:tc>
          <w:tcPr>
            <w:tcW w:w="2265" w:type="dxa"/>
            <w:shd w:val="clear" w:color="auto" w:fill="D0CECE" w:themeFill="background2" w:themeFillShade="E6"/>
          </w:tcPr>
          <w:p w:rsidR="009528E2" w:rsidRPr="009528E2" w:rsidRDefault="009528E2" w:rsidP="0028532B">
            <w:pPr>
              <w:rPr>
                <w:sz w:val="16"/>
                <w:szCs w:val="16"/>
              </w:rPr>
            </w:pPr>
            <w:r w:rsidRPr="009528E2">
              <w:rPr>
                <w:sz w:val="16"/>
                <w:szCs w:val="16"/>
              </w:rPr>
              <w:t>Impacts</w:t>
            </w:r>
          </w:p>
        </w:tc>
        <w:tc>
          <w:tcPr>
            <w:tcW w:w="1870" w:type="dxa"/>
            <w:shd w:val="clear" w:color="auto" w:fill="D0CECE" w:themeFill="background2" w:themeFillShade="E6"/>
          </w:tcPr>
          <w:p w:rsidR="009528E2" w:rsidRPr="009528E2" w:rsidRDefault="009528E2" w:rsidP="0028532B">
            <w:pPr>
              <w:rPr>
                <w:sz w:val="16"/>
                <w:szCs w:val="16"/>
              </w:rPr>
            </w:pPr>
            <w:r w:rsidRPr="009528E2">
              <w:rPr>
                <w:sz w:val="16"/>
                <w:szCs w:val="16"/>
              </w:rPr>
              <w:t>Mitigation Measures</w:t>
            </w:r>
          </w:p>
        </w:tc>
      </w:tr>
      <w:tr w:rsidR="009528E2" w:rsidRPr="0047378E" w:rsidTr="009528E2">
        <w:tc>
          <w:tcPr>
            <w:tcW w:w="1870" w:type="dxa"/>
          </w:tcPr>
          <w:p w:rsidR="009528E2" w:rsidRPr="00DE21BF" w:rsidRDefault="009528E2" w:rsidP="009528E2">
            <w:pPr>
              <w:rPr>
                <w:sz w:val="20"/>
                <w:szCs w:val="20"/>
              </w:rPr>
            </w:pPr>
            <w:r w:rsidRPr="0047378E">
              <w:rPr>
                <w:sz w:val="16"/>
                <w:szCs w:val="16"/>
              </w:rPr>
              <w:t>Traffic Impacts</w:t>
            </w:r>
          </w:p>
        </w:tc>
        <w:tc>
          <w:tcPr>
            <w:tcW w:w="1870" w:type="dxa"/>
          </w:tcPr>
          <w:p w:rsidR="009528E2" w:rsidRPr="00DE21BF" w:rsidRDefault="009528E2" w:rsidP="009528E2">
            <w:pPr>
              <w:rPr>
                <w:sz w:val="20"/>
                <w:szCs w:val="20"/>
              </w:rPr>
            </w:pPr>
            <w:r w:rsidRPr="0047378E">
              <w:rPr>
                <w:sz w:val="16"/>
                <w:szCs w:val="16"/>
              </w:rPr>
              <w:t xml:space="preserve">Motorists </w:t>
            </w:r>
            <w:r>
              <w:rPr>
                <w:sz w:val="16"/>
                <w:szCs w:val="16"/>
              </w:rPr>
              <w:t xml:space="preserve">and businesses </w:t>
            </w:r>
            <w:r w:rsidRPr="0047378E">
              <w:rPr>
                <w:sz w:val="16"/>
                <w:szCs w:val="16"/>
              </w:rPr>
              <w:t>will continue to be inconvenienced by construction operations into the 2018 season.</w:t>
            </w:r>
          </w:p>
        </w:tc>
        <w:tc>
          <w:tcPr>
            <w:tcW w:w="1475" w:type="dxa"/>
          </w:tcPr>
          <w:p w:rsidR="009528E2" w:rsidRPr="00DE21BF" w:rsidRDefault="009528E2" w:rsidP="009528E2">
            <w:pPr>
              <w:rPr>
                <w:sz w:val="20"/>
                <w:szCs w:val="20"/>
              </w:rPr>
            </w:pPr>
            <w:r w:rsidRPr="0047378E">
              <w:rPr>
                <w:sz w:val="16"/>
                <w:szCs w:val="16"/>
              </w:rPr>
              <w:t>Moderate to High</w:t>
            </w:r>
          </w:p>
        </w:tc>
        <w:tc>
          <w:tcPr>
            <w:tcW w:w="2265" w:type="dxa"/>
          </w:tcPr>
          <w:p w:rsidR="009528E2" w:rsidRPr="00DE21BF" w:rsidRDefault="009528E2" w:rsidP="009528E2">
            <w:pPr>
              <w:rPr>
                <w:sz w:val="20"/>
                <w:szCs w:val="20"/>
              </w:rPr>
            </w:pPr>
            <w:r w:rsidRPr="0047378E">
              <w:rPr>
                <w:sz w:val="16"/>
                <w:szCs w:val="16"/>
              </w:rPr>
              <w:t>Additional coordination with Village officials and local businesses.</w:t>
            </w:r>
          </w:p>
        </w:tc>
        <w:tc>
          <w:tcPr>
            <w:tcW w:w="1870" w:type="dxa"/>
          </w:tcPr>
          <w:p w:rsidR="009528E2" w:rsidRPr="00DE21BF" w:rsidRDefault="009528E2" w:rsidP="009528E2">
            <w:pPr>
              <w:rPr>
                <w:sz w:val="20"/>
                <w:szCs w:val="20"/>
              </w:rPr>
            </w:pPr>
            <w:r w:rsidRPr="0047378E">
              <w:rPr>
                <w:sz w:val="16"/>
                <w:szCs w:val="16"/>
              </w:rPr>
              <w:t>Keep public informed via news releases and project website.  Keep in close contact with Village officials and emergency services.  Updates to the Lane Closure System.</w:t>
            </w:r>
          </w:p>
        </w:tc>
      </w:tr>
      <w:tr w:rsidR="009528E2" w:rsidRPr="0047378E" w:rsidTr="009528E2">
        <w:tc>
          <w:tcPr>
            <w:tcW w:w="1870" w:type="dxa"/>
          </w:tcPr>
          <w:p w:rsidR="009528E2" w:rsidRPr="0047378E" w:rsidRDefault="009528E2" w:rsidP="009528E2">
            <w:pPr>
              <w:rPr>
                <w:sz w:val="16"/>
                <w:szCs w:val="16"/>
              </w:rPr>
            </w:pPr>
            <w:r>
              <w:rPr>
                <w:sz w:val="16"/>
                <w:szCs w:val="16"/>
              </w:rPr>
              <w:t>Additional Costs</w:t>
            </w:r>
          </w:p>
        </w:tc>
        <w:tc>
          <w:tcPr>
            <w:tcW w:w="1870" w:type="dxa"/>
          </w:tcPr>
          <w:p w:rsidR="009528E2" w:rsidRPr="0047378E" w:rsidRDefault="009528E2" w:rsidP="009528E2">
            <w:pPr>
              <w:rPr>
                <w:sz w:val="16"/>
                <w:szCs w:val="16"/>
              </w:rPr>
            </w:pPr>
            <w:r>
              <w:rPr>
                <w:sz w:val="16"/>
                <w:szCs w:val="16"/>
              </w:rPr>
              <w:t>If traffic is not on final surface over winter shut down there will be additional costs incurred for:  traffic control, temporary markings, asphalt wedging and removing within RAB, mobilization, etc.</w:t>
            </w:r>
          </w:p>
        </w:tc>
        <w:tc>
          <w:tcPr>
            <w:tcW w:w="1475" w:type="dxa"/>
          </w:tcPr>
          <w:p w:rsidR="009528E2" w:rsidRPr="0047378E" w:rsidRDefault="009528E2" w:rsidP="009528E2">
            <w:pPr>
              <w:rPr>
                <w:sz w:val="16"/>
                <w:szCs w:val="16"/>
              </w:rPr>
            </w:pPr>
            <w:r>
              <w:rPr>
                <w:sz w:val="16"/>
                <w:szCs w:val="16"/>
              </w:rPr>
              <w:t>Moderate</w:t>
            </w:r>
          </w:p>
        </w:tc>
        <w:tc>
          <w:tcPr>
            <w:tcW w:w="2265" w:type="dxa"/>
          </w:tcPr>
          <w:p w:rsidR="009528E2" w:rsidRPr="0047378E" w:rsidRDefault="009528E2" w:rsidP="009528E2">
            <w:pPr>
              <w:rPr>
                <w:sz w:val="16"/>
                <w:szCs w:val="16"/>
              </w:rPr>
            </w:pPr>
            <w:r>
              <w:rPr>
                <w:sz w:val="16"/>
                <w:szCs w:val="16"/>
              </w:rPr>
              <w:t>$25,000 – $75,0000 range</w:t>
            </w:r>
          </w:p>
        </w:tc>
        <w:tc>
          <w:tcPr>
            <w:tcW w:w="1870" w:type="dxa"/>
          </w:tcPr>
          <w:p w:rsidR="009528E2" w:rsidRPr="0047378E" w:rsidRDefault="009528E2" w:rsidP="009528E2">
            <w:pPr>
              <w:rPr>
                <w:sz w:val="16"/>
                <w:szCs w:val="16"/>
              </w:rPr>
            </w:pPr>
            <w:r>
              <w:rPr>
                <w:sz w:val="16"/>
                <w:szCs w:val="16"/>
              </w:rPr>
              <w:t>Project team will closely follow the construction schedule and the weather forecasts and will make a determination in mid-late October on revised TMP.</w:t>
            </w:r>
          </w:p>
        </w:tc>
      </w:tr>
    </w:tbl>
    <w:p w:rsidR="0047378E" w:rsidRDefault="0047378E"/>
    <w:sectPr w:rsidR="0047378E" w:rsidSect="00BE4B0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A6" w:rsidRDefault="001F74A6" w:rsidP="0047378E">
      <w:pPr>
        <w:spacing w:after="0" w:line="240" w:lineRule="auto"/>
      </w:pPr>
      <w:r>
        <w:separator/>
      </w:r>
    </w:p>
  </w:endnote>
  <w:endnote w:type="continuationSeparator" w:id="0">
    <w:p w:rsidR="001F74A6" w:rsidRDefault="001F74A6" w:rsidP="0047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A6" w:rsidRDefault="001F74A6" w:rsidP="0047378E">
      <w:pPr>
        <w:spacing w:after="0" w:line="240" w:lineRule="auto"/>
      </w:pPr>
      <w:r>
        <w:separator/>
      </w:r>
    </w:p>
  </w:footnote>
  <w:footnote w:type="continuationSeparator" w:id="0">
    <w:p w:rsidR="001F74A6" w:rsidRDefault="001F74A6" w:rsidP="0047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7DEA"/>
    <w:multiLevelType w:val="hybridMultilevel"/>
    <w:tmpl w:val="C526E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E2B7C"/>
    <w:multiLevelType w:val="hybridMultilevel"/>
    <w:tmpl w:val="CB2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406AF"/>
    <w:multiLevelType w:val="hybridMultilevel"/>
    <w:tmpl w:val="CD3E5652"/>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509708B5"/>
    <w:multiLevelType w:val="hybridMultilevel"/>
    <w:tmpl w:val="65AE2288"/>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78DC5158"/>
    <w:multiLevelType w:val="hybridMultilevel"/>
    <w:tmpl w:val="AD3692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14454"/>
    <w:multiLevelType w:val="hybridMultilevel"/>
    <w:tmpl w:val="F64A2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A8"/>
    <w:rsid w:val="00017BB4"/>
    <w:rsid w:val="00022D3F"/>
    <w:rsid w:val="0004775F"/>
    <w:rsid w:val="000536F7"/>
    <w:rsid w:val="000671F3"/>
    <w:rsid w:val="000B01AE"/>
    <w:rsid w:val="000E2D98"/>
    <w:rsid w:val="00100243"/>
    <w:rsid w:val="00110E2E"/>
    <w:rsid w:val="00124EBF"/>
    <w:rsid w:val="00157905"/>
    <w:rsid w:val="001A1AFE"/>
    <w:rsid w:val="001F04F7"/>
    <w:rsid w:val="001F74A6"/>
    <w:rsid w:val="00211F42"/>
    <w:rsid w:val="00240498"/>
    <w:rsid w:val="00251E38"/>
    <w:rsid w:val="00256749"/>
    <w:rsid w:val="0026461B"/>
    <w:rsid w:val="0028746F"/>
    <w:rsid w:val="00297FF3"/>
    <w:rsid w:val="002A28DE"/>
    <w:rsid w:val="002D288C"/>
    <w:rsid w:val="003140A7"/>
    <w:rsid w:val="003443EA"/>
    <w:rsid w:val="0035051D"/>
    <w:rsid w:val="003560F3"/>
    <w:rsid w:val="003615E3"/>
    <w:rsid w:val="003B100C"/>
    <w:rsid w:val="003C5CB4"/>
    <w:rsid w:val="004033F2"/>
    <w:rsid w:val="0040391C"/>
    <w:rsid w:val="00456F82"/>
    <w:rsid w:val="00457994"/>
    <w:rsid w:val="00465571"/>
    <w:rsid w:val="00470415"/>
    <w:rsid w:val="0047378E"/>
    <w:rsid w:val="0047416D"/>
    <w:rsid w:val="00482DF5"/>
    <w:rsid w:val="0049305A"/>
    <w:rsid w:val="004A06E1"/>
    <w:rsid w:val="004A563C"/>
    <w:rsid w:val="004C75C2"/>
    <w:rsid w:val="004D2A78"/>
    <w:rsid w:val="004F2018"/>
    <w:rsid w:val="004F402E"/>
    <w:rsid w:val="00501D00"/>
    <w:rsid w:val="00503CA7"/>
    <w:rsid w:val="00512FDC"/>
    <w:rsid w:val="00516499"/>
    <w:rsid w:val="0052059B"/>
    <w:rsid w:val="00536789"/>
    <w:rsid w:val="005573C3"/>
    <w:rsid w:val="00582F47"/>
    <w:rsid w:val="00596846"/>
    <w:rsid w:val="005B3A6F"/>
    <w:rsid w:val="005F22F7"/>
    <w:rsid w:val="005F3C87"/>
    <w:rsid w:val="00616563"/>
    <w:rsid w:val="00673884"/>
    <w:rsid w:val="00682E29"/>
    <w:rsid w:val="00691D54"/>
    <w:rsid w:val="006C4000"/>
    <w:rsid w:val="006C6E1B"/>
    <w:rsid w:val="006F2D63"/>
    <w:rsid w:val="0071233C"/>
    <w:rsid w:val="00731E88"/>
    <w:rsid w:val="00762B7A"/>
    <w:rsid w:val="00765F17"/>
    <w:rsid w:val="00785C00"/>
    <w:rsid w:val="00792C09"/>
    <w:rsid w:val="007A76DB"/>
    <w:rsid w:val="007B10C7"/>
    <w:rsid w:val="007C561A"/>
    <w:rsid w:val="007C668F"/>
    <w:rsid w:val="007C6C5E"/>
    <w:rsid w:val="007D0404"/>
    <w:rsid w:val="00807E54"/>
    <w:rsid w:val="00827509"/>
    <w:rsid w:val="008439AB"/>
    <w:rsid w:val="00850985"/>
    <w:rsid w:val="00896680"/>
    <w:rsid w:val="00896E51"/>
    <w:rsid w:val="008D445D"/>
    <w:rsid w:val="008E6E2F"/>
    <w:rsid w:val="008F6841"/>
    <w:rsid w:val="00922C8C"/>
    <w:rsid w:val="0092578F"/>
    <w:rsid w:val="00932700"/>
    <w:rsid w:val="009528E2"/>
    <w:rsid w:val="00964ED1"/>
    <w:rsid w:val="009875F8"/>
    <w:rsid w:val="009A4DEA"/>
    <w:rsid w:val="009A4F4B"/>
    <w:rsid w:val="009E330C"/>
    <w:rsid w:val="00A031E0"/>
    <w:rsid w:val="00A04FAA"/>
    <w:rsid w:val="00A30BB7"/>
    <w:rsid w:val="00A349E4"/>
    <w:rsid w:val="00A420E4"/>
    <w:rsid w:val="00A42A02"/>
    <w:rsid w:val="00A80D8F"/>
    <w:rsid w:val="00A905EA"/>
    <w:rsid w:val="00A96394"/>
    <w:rsid w:val="00AA3E54"/>
    <w:rsid w:val="00AC05BD"/>
    <w:rsid w:val="00B109DA"/>
    <w:rsid w:val="00B231FD"/>
    <w:rsid w:val="00B27599"/>
    <w:rsid w:val="00B45328"/>
    <w:rsid w:val="00B51DE9"/>
    <w:rsid w:val="00B932A8"/>
    <w:rsid w:val="00B94F13"/>
    <w:rsid w:val="00BA1009"/>
    <w:rsid w:val="00BB689D"/>
    <w:rsid w:val="00BE0E15"/>
    <w:rsid w:val="00BE4B06"/>
    <w:rsid w:val="00C02FBB"/>
    <w:rsid w:val="00C36C21"/>
    <w:rsid w:val="00C37767"/>
    <w:rsid w:val="00C61CFC"/>
    <w:rsid w:val="00C61D65"/>
    <w:rsid w:val="00CC273D"/>
    <w:rsid w:val="00D01A75"/>
    <w:rsid w:val="00D14264"/>
    <w:rsid w:val="00D30F86"/>
    <w:rsid w:val="00D66272"/>
    <w:rsid w:val="00D66C6C"/>
    <w:rsid w:val="00D90484"/>
    <w:rsid w:val="00DA70E5"/>
    <w:rsid w:val="00DC34E8"/>
    <w:rsid w:val="00DD52DF"/>
    <w:rsid w:val="00E56802"/>
    <w:rsid w:val="00E80055"/>
    <w:rsid w:val="00E94979"/>
    <w:rsid w:val="00EB0003"/>
    <w:rsid w:val="00EE4386"/>
    <w:rsid w:val="00EF3EAB"/>
    <w:rsid w:val="00F10100"/>
    <w:rsid w:val="00F126E6"/>
    <w:rsid w:val="00F34C46"/>
    <w:rsid w:val="00F70ED7"/>
    <w:rsid w:val="00F848F7"/>
    <w:rsid w:val="00F97BD6"/>
    <w:rsid w:val="00FA7B45"/>
    <w:rsid w:val="00FC24B1"/>
    <w:rsid w:val="00FC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9452"/>
  <w15:chartTrackingRefBased/>
  <w15:docId w15:val="{C8CE7527-C6A3-4764-86EA-8EBDBA73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F2"/>
    <w:pPr>
      <w:ind w:left="720"/>
      <w:contextualSpacing/>
    </w:pPr>
  </w:style>
  <w:style w:type="table" w:styleId="TableGrid">
    <w:name w:val="Table Grid"/>
    <w:basedOn w:val="TableNormal"/>
    <w:uiPriority w:val="39"/>
    <w:rsid w:val="0092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36F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A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AFE"/>
  </w:style>
  <w:style w:type="paragraph" w:styleId="Footer">
    <w:name w:val="footer"/>
    <w:basedOn w:val="Normal"/>
    <w:link w:val="FooterChar"/>
    <w:uiPriority w:val="99"/>
    <w:unhideWhenUsed/>
    <w:rsid w:val="001A1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94E1-0BDF-4B9B-8122-F8DDE83C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DAVID</dc:creator>
  <cp:keywords/>
  <dc:description/>
  <cp:lastModifiedBy>OLSON, JEFFREY G</cp:lastModifiedBy>
  <cp:revision>50</cp:revision>
  <dcterms:created xsi:type="dcterms:W3CDTF">2017-10-19T13:37:00Z</dcterms:created>
  <dcterms:modified xsi:type="dcterms:W3CDTF">2017-10-19T19:46:00Z</dcterms:modified>
</cp:coreProperties>
</file>