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CF11A4" w:rsidRDefault="00BE2267" w:rsidP="00BC713A">
      <w:pPr>
        <w:jc w:val="center"/>
        <w:rPr>
          <w:rFonts w:cs="Arial"/>
          <w:b/>
          <w:sz w:val="22"/>
          <w:szCs w:val="22"/>
        </w:rPr>
      </w:pPr>
      <w:r w:rsidRPr="00CF11A4">
        <w:rPr>
          <w:rFonts w:cs="Arial"/>
          <w:b/>
          <w:sz w:val="22"/>
          <w:szCs w:val="22"/>
        </w:rPr>
        <w:t>Special Provisions</w:t>
      </w:r>
    </w:p>
    <w:p w:rsidR="00323052" w:rsidRPr="00EA080F" w:rsidRDefault="00BE2267" w:rsidP="00BC713A">
      <w:pPr>
        <w:jc w:val="center"/>
        <w:rPr>
          <w:rFonts w:cs="Arial"/>
          <w:b/>
          <w:sz w:val="22"/>
          <w:szCs w:val="22"/>
        </w:rPr>
      </w:pPr>
      <w:r w:rsidRPr="00EA080F">
        <w:rPr>
          <w:rFonts w:cs="Arial"/>
          <w:b/>
          <w:sz w:val="22"/>
          <w:szCs w:val="22"/>
        </w:rPr>
        <w:t>Table of Contents</w:t>
      </w:r>
    </w:p>
    <w:p w:rsidR="00323052" w:rsidRPr="00EA080F" w:rsidRDefault="00BE2267" w:rsidP="00D439F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625E8F" w:rsidRDefault="00CF5A0F">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23400007" w:history="1">
        <w:r w:rsidR="00625E8F" w:rsidRPr="002A7A7E">
          <w:rPr>
            <w:rStyle w:val="Hyperlink"/>
            <w:rFonts w:cs="Arial"/>
            <w:noProof/>
          </w:rPr>
          <w:t>1.</w:t>
        </w:r>
        <w:r w:rsidR="00625E8F">
          <w:rPr>
            <w:rFonts w:asciiTheme="minorHAnsi" w:eastAsiaTheme="minorEastAsia" w:hAnsiTheme="minorHAnsi"/>
            <w:noProof/>
            <w:sz w:val="22"/>
            <w:szCs w:val="22"/>
          </w:rPr>
          <w:tab/>
        </w:r>
        <w:r w:rsidR="00625E8F" w:rsidRPr="002A7A7E">
          <w:rPr>
            <w:rStyle w:val="Hyperlink"/>
            <w:rFonts w:cs="Arial"/>
            <w:noProof/>
          </w:rPr>
          <w:t>General.</w:t>
        </w:r>
        <w:r w:rsidR="00625E8F">
          <w:rPr>
            <w:noProof/>
            <w:webHidden/>
          </w:rPr>
          <w:tab/>
        </w:r>
        <w:r w:rsidR="00625E8F">
          <w:rPr>
            <w:noProof/>
            <w:webHidden/>
          </w:rPr>
          <w:fldChar w:fldCharType="begin"/>
        </w:r>
        <w:r w:rsidR="00625E8F">
          <w:rPr>
            <w:noProof/>
            <w:webHidden/>
          </w:rPr>
          <w:instrText xml:space="preserve"> PAGEREF _Toc23400007 \h </w:instrText>
        </w:r>
        <w:r w:rsidR="00625E8F">
          <w:rPr>
            <w:noProof/>
            <w:webHidden/>
          </w:rPr>
        </w:r>
        <w:r w:rsidR="00625E8F">
          <w:rPr>
            <w:noProof/>
            <w:webHidden/>
          </w:rPr>
          <w:fldChar w:fldCharType="separate"/>
        </w:r>
        <w:r w:rsidR="00625E8F">
          <w:rPr>
            <w:noProof/>
            <w:webHidden/>
          </w:rPr>
          <w:t>2</w:t>
        </w:r>
        <w:r w:rsidR="00625E8F">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08" w:history="1">
        <w:r w:rsidRPr="002A7A7E">
          <w:rPr>
            <w:rStyle w:val="Hyperlink"/>
            <w:rFonts w:cs="Arial"/>
            <w:noProof/>
          </w:rPr>
          <w:t>2.</w:t>
        </w:r>
        <w:r>
          <w:rPr>
            <w:rFonts w:asciiTheme="minorHAnsi" w:eastAsiaTheme="minorEastAsia" w:hAnsiTheme="minorHAnsi"/>
            <w:noProof/>
            <w:sz w:val="22"/>
            <w:szCs w:val="22"/>
          </w:rPr>
          <w:tab/>
        </w:r>
        <w:r w:rsidRPr="002A7A7E">
          <w:rPr>
            <w:rStyle w:val="Hyperlink"/>
            <w:rFonts w:cs="Arial"/>
            <w:noProof/>
          </w:rPr>
          <w:t>Scope of Work.</w:t>
        </w:r>
        <w:r>
          <w:rPr>
            <w:noProof/>
            <w:webHidden/>
          </w:rPr>
          <w:tab/>
        </w:r>
        <w:r>
          <w:rPr>
            <w:noProof/>
            <w:webHidden/>
          </w:rPr>
          <w:fldChar w:fldCharType="begin"/>
        </w:r>
        <w:r>
          <w:rPr>
            <w:noProof/>
            <w:webHidden/>
          </w:rPr>
          <w:instrText xml:space="preserve"> PAGEREF _Toc23400008 \h </w:instrText>
        </w:r>
        <w:r>
          <w:rPr>
            <w:noProof/>
            <w:webHidden/>
          </w:rPr>
        </w:r>
        <w:r>
          <w:rPr>
            <w:noProof/>
            <w:webHidden/>
          </w:rPr>
          <w:fldChar w:fldCharType="separate"/>
        </w:r>
        <w:r>
          <w:rPr>
            <w:noProof/>
            <w:webHidden/>
          </w:rPr>
          <w:t>2</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09" w:history="1">
        <w:r w:rsidRPr="002A7A7E">
          <w:rPr>
            <w:rStyle w:val="Hyperlink"/>
            <w:rFonts w:cs="Arial"/>
            <w:noProof/>
          </w:rPr>
          <w:t>3.</w:t>
        </w:r>
        <w:r>
          <w:rPr>
            <w:rFonts w:asciiTheme="minorHAnsi" w:eastAsiaTheme="minorEastAsia" w:hAnsiTheme="minorHAnsi"/>
            <w:noProof/>
            <w:sz w:val="22"/>
            <w:szCs w:val="22"/>
          </w:rPr>
          <w:tab/>
        </w:r>
        <w:r w:rsidRPr="002A7A7E">
          <w:rPr>
            <w:rStyle w:val="Hyperlink"/>
            <w:rFonts w:cs="Arial"/>
            <w:noProof/>
          </w:rPr>
          <w:t>Prosecution and Progress.</w:t>
        </w:r>
        <w:r>
          <w:rPr>
            <w:noProof/>
            <w:webHidden/>
          </w:rPr>
          <w:tab/>
        </w:r>
        <w:r>
          <w:rPr>
            <w:noProof/>
            <w:webHidden/>
          </w:rPr>
          <w:fldChar w:fldCharType="begin"/>
        </w:r>
        <w:r>
          <w:rPr>
            <w:noProof/>
            <w:webHidden/>
          </w:rPr>
          <w:instrText xml:space="preserve"> PAGEREF _Toc23400009 \h </w:instrText>
        </w:r>
        <w:r>
          <w:rPr>
            <w:noProof/>
            <w:webHidden/>
          </w:rPr>
        </w:r>
        <w:r>
          <w:rPr>
            <w:noProof/>
            <w:webHidden/>
          </w:rPr>
          <w:fldChar w:fldCharType="separate"/>
        </w:r>
        <w:r>
          <w:rPr>
            <w:noProof/>
            <w:webHidden/>
          </w:rPr>
          <w:t>2</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0" w:history="1">
        <w:r w:rsidRPr="002A7A7E">
          <w:rPr>
            <w:rStyle w:val="Hyperlink"/>
            <w:rFonts w:cs="Arial"/>
            <w:noProof/>
          </w:rPr>
          <w:t>4.</w:t>
        </w:r>
        <w:r>
          <w:rPr>
            <w:rFonts w:asciiTheme="minorHAnsi" w:eastAsiaTheme="minorEastAsia" w:hAnsiTheme="minorHAnsi"/>
            <w:noProof/>
            <w:sz w:val="22"/>
            <w:szCs w:val="22"/>
          </w:rPr>
          <w:tab/>
        </w:r>
        <w:r w:rsidRPr="002A7A7E">
          <w:rPr>
            <w:rStyle w:val="Hyperlink"/>
            <w:rFonts w:cs="Arial"/>
            <w:noProof/>
          </w:rPr>
          <w:t>Traffic.</w:t>
        </w:r>
        <w:r>
          <w:rPr>
            <w:noProof/>
            <w:webHidden/>
          </w:rPr>
          <w:tab/>
        </w:r>
        <w:r>
          <w:rPr>
            <w:noProof/>
            <w:webHidden/>
          </w:rPr>
          <w:fldChar w:fldCharType="begin"/>
        </w:r>
        <w:r>
          <w:rPr>
            <w:noProof/>
            <w:webHidden/>
          </w:rPr>
          <w:instrText xml:space="preserve"> PAGEREF _Toc23400010 \h </w:instrText>
        </w:r>
        <w:r>
          <w:rPr>
            <w:noProof/>
            <w:webHidden/>
          </w:rPr>
        </w:r>
        <w:r>
          <w:rPr>
            <w:noProof/>
            <w:webHidden/>
          </w:rPr>
          <w:fldChar w:fldCharType="separate"/>
        </w:r>
        <w:r>
          <w:rPr>
            <w:noProof/>
            <w:webHidden/>
          </w:rPr>
          <w:t>3</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1" w:history="1">
        <w:r w:rsidRPr="002A7A7E">
          <w:rPr>
            <w:rStyle w:val="Hyperlink"/>
            <w:rFonts w:cs="Arial"/>
            <w:noProof/>
          </w:rPr>
          <w:t>5.</w:t>
        </w:r>
        <w:r>
          <w:rPr>
            <w:rFonts w:asciiTheme="minorHAnsi" w:eastAsiaTheme="minorEastAsia" w:hAnsiTheme="minorHAnsi"/>
            <w:noProof/>
            <w:sz w:val="22"/>
            <w:szCs w:val="22"/>
          </w:rPr>
          <w:tab/>
        </w:r>
        <w:r w:rsidRPr="002A7A7E">
          <w:rPr>
            <w:rStyle w:val="Hyperlink"/>
            <w:rFonts w:cs="Arial"/>
            <w:noProof/>
          </w:rPr>
          <w:t>Holiday and Other Event Work Restrictions.</w:t>
        </w:r>
        <w:bookmarkStart w:id="0" w:name="_GoBack"/>
        <w:bookmarkEnd w:id="0"/>
        <w:r>
          <w:rPr>
            <w:noProof/>
            <w:webHidden/>
          </w:rPr>
          <w:tab/>
        </w:r>
        <w:r>
          <w:rPr>
            <w:noProof/>
            <w:webHidden/>
          </w:rPr>
          <w:fldChar w:fldCharType="begin"/>
        </w:r>
        <w:r>
          <w:rPr>
            <w:noProof/>
            <w:webHidden/>
          </w:rPr>
          <w:instrText xml:space="preserve"> PAGEREF _Toc23400011 \h </w:instrText>
        </w:r>
        <w:r>
          <w:rPr>
            <w:noProof/>
            <w:webHidden/>
          </w:rPr>
        </w:r>
        <w:r>
          <w:rPr>
            <w:noProof/>
            <w:webHidden/>
          </w:rPr>
          <w:fldChar w:fldCharType="separate"/>
        </w:r>
        <w:r>
          <w:rPr>
            <w:noProof/>
            <w:webHidden/>
          </w:rPr>
          <w:t>3</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2" w:history="1">
        <w:r w:rsidRPr="002A7A7E">
          <w:rPr>
            <w:rStyle w:val="Hyperlink"/>
            <w:rFonts w:cs="Arial"/>
            <w:noProof/>
          </w:rPr>
          <w:t>6.</w:t>
        </w:r>
        <w:r>
          <w:rPr>
            <w:rFonts w:asciiTheme="minorHAnsi" w:eastAsiaTheme="minorEastAsia" w:hAnsiTheme="minorHAnsi"/>
            <w:noProof/>
            <w:sz w:val="22"/>
            <w:szCs w:val="22"/>
          </w:rPr>
          <w:tab/>
        </w:r>
        <w:r w:rsidRPr="002A7A7E">
          <w:rPr>
            <w:rStyle w:val="Hyperlink"/>
            <w:rFonts w:cs="Arial"/>
            <w:noProof/>
          </w:rPr>
          <w:t>Property Marks – Protecting and Restoring.</w:t>
        </w:r>
        <w:r>
          <w:rPr>
            <w:noProof/>
            <w:webHidden/>
          </w:rPr>
          <w:tab/>
        </w:r>
        <w:r>
          <w:rPr>
            <w:noProof/>
            <w:webHidden/>
          </w:rPr>
          <w:fldChar w:fldCharType="begin"/>
        </w:r>
        <w:r>
          <w:rPr>
            <w:noProof/>
            <w:webHidden/>
          </w:rPr>
          <w:instrText xml:space="preserve"> PAGEREF _Toc23400012 \h </w:instrText>
        </w:r>
        <w:r>
          <w:rPr>
            <w:noProof/>
            <w:webHidden/>
          </w:rPr>
        </w:r>
        <w:r>
          <w:rPr>
            <w:noProof/>
            <w:webHidden/>
          </w:rPr>
          <w:fldChar w:fldCharType="separate"/>
        </w:r>
        <w:r>
          <w:rPr>
            <w:noProof/>
            <w:webHidden/>
          </w:rPr>
          <w:t>3</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3" w:history="1">
        <w:r w:rsidRPr="002A7A7E">
          <w:rPr>
            <w:rStyle w:val="Hyperlink"/>
            <w:noProof/>
          </w:rPr>
          <w:t>7.</w:t>
        </w:r>
        <w:r>
          <w:rPr>
            <w:rFonts w:asciiTheme="minorHAnsi" w:eastAsiaTheme="minorEastAsia" w:hAnsiTheme="minorHAnsi"/>
            <w:noProof/>
            <w:sz w:val="22"/>
            <w:szCs w:val="22"/>
          </w:rPr>
          <w:tab/>
        </w:r>
        <w:r w:rsidRPr="002A7A7E">
          <w:rPr>
            <w:rStyle w:val="Hyperlink"/>
            <w:noProof/>
          </w:rPr>
          <w:t>Utilities.</w:t>
        </w:r>
        <w:r>
          <w:rPr>
            <w:noProof/>
            <w:webHidden/>
          </w:rPr>
          <w:tab/>
        </w:r>
        <w:r>
          <w:rPr>
            <w:noProof/>
            <w:webHidden/>
          </w:rPr>
          <w:fldChar w:fldCharType="begin"/>
        </w:r>
        <w:r>
          <w:rPr>
            <w:noProof/>
            <w:webHidden/>
          </w:rPr>
          <w:instrText xml:space="preserve"> PAGEREF _Toc23400013 \h </w:instrText>
        </w:r>
        <w:r>
          <w:rPr>
            <w:noProof/>
            <w:webHidden/>
          </w:rPr>
        </w:r>
        <w:r>
          <w:rPr>
            <w:noProof/>
            <w:webHidden/>
          </w:rPr>
          <w:fldChar w:fldCharType="separate"/>
        </w:r>
        <w:r>
          <w:rPr>
            <w:noProof/>
            <w:webHidden/>
          </w:rPr>
          <w:t>3</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4" w:history="1">
        <w:r w:rsidRPr="002A7A7E">
          <w:rPr>
            <w:rStyle w:val="Hyperlink"/>
            <w:noProof/>
          </w:rPr>
          <w:t>8.</w:t>
        </w:r>
        <w:r>
          <w:rPr>
            <w:rFonts w:asciiTheme="minorHAnsi" w:eastAsiaTheme="minorEastAsia" w:hAnsiTheme="minorHAnsi"/>
            <w:noProof/>
            <w:sz w:val="22"/>
            <w:szCs w:val="22"/>
          </w:rPr>
          <w:tab/>
        </w:r>
        <w:r w:rsidRPr="002A7A7E">
          <w:rPr>
            <w:rStyle w:val="Hyperlink"/>
            <w:noProof/>
          </w:rPr>
          <w:t>Health and Safety Requirements for Workers Remediating Petroleum Contamination.</w:t>
        </w:r>
        <w:r>
          <w:rPr>
            <w:noProof/>
            <w:webHidden/>
          </w:rPr>
          <w:tab/>
        </w:r>
        <w:r>
          <w:rPr>
            <w:noProof/>
            <w:webHidden/>
          </w:rPr>
          <w:fldChar w:fldCharType="begin"/>
        </w:r>
        <w:r>
          <w:rPr>
            <w:noProof/>
            <w:webHidden/>
          </w:rPr>
          <w:instrText xml:space="preserve"> PAGEREF _Toc23400014 \h </w:instrText>
        </w:r>
        <w:r>
          <w:rPr>
            <w:noProof/>
            <w:webHidden/>
          </w:rPr>
        </w:r>
        <w:r>
          <w:rPr>
            <w:noProof/>
            <w:webHidden/>
          </w:rPr>
          <w:fldChar w:fldCharType="separate"/>
        </w:r>
        <w:r>
          <w:rPr>
            <w:noProof/>
            <w:webHidden/>
          </w:rPr>
          <w:t>5</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5" w:history="1">
        <w:r w:rsidRPr="002A7A7E">
          <w:rPr>
            <w:rStyle w:val="Hyperlink"/>
            <w:noProof/>
          </w:rPr>
          <w:t>9.</w:t>
        </w:r>
        <w:r>
          <w:rPr>
            <w:rFonts w:asciiTheme="minorHAnsi" w:eastAsiaTheme="minorEastAsia" w:hAnsiTheme="minorHAnsi"/>
            <w:noProof/>
            <w:sz w:val="22"/>
            <w:szCs w:val="22"/>
          </w:rPr>
          <w:tab/>
        </w:r>
        <w:r w:rsidRPr="002A7A7E">
          <w:rPr>
            <w:rStyle w:val="Hyperlink"/>
            <w:noProof/>
          </w:rPr>
          <w:t>Hazardous Materials Contamination.</w:t>
        </w:r>
        <w:r>
          <w:rPr>
            <w:noProof/>
            <w:webHidden/>
          </w:rPr>
          <w:tab/>
        </w:r>
        <w:r>
          <w:rPr>
            <w:noProof/>
            <w:webHidden/>
          </w:rPr>
          <w:fldChar w:fldCharType="begin"/>
        </w:r>
        <w:r>
          <w:rPr>
            <w:noProof/>
            <w:webHidden/>
          </w:rPr>
          <w:instrText xml:space="preserve"> PAGEREF _Toc23400015 \h </w:instrText>
        </w:r>
        <w:r>
          <w:rPr>
            <w:noProof/>
            <w:webHidden/>
          </w:rPr>
        </w:r>
        <w:r>
          <w:rPr>
            <w:noProof/>
            <w:webHidden/>
          </w:rPr>
          <w:fldChar w:fldCharType="separate"/>
        </w:r>
        <w:r>
          <w:rPr>
            <w:noProof/>
            <w:webHidden/>
          </w:rPr>
          <w:t>5</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6" w:history="1">
        <w:r w:rsidRPr="002A7A7E">
          <w:rPr>
            <w:rStyle w:val="Hyperlink"/>
            <w:noProof/>
          </w:rPr>
          <w:t>10.</w:t>
        </w:r>
        <w:r>
          <w:rPr>
            <w:rFonts w:asciiTheme="minorHAnsi" w:eastAsiaTheme="minorEastAsia" w:hAnsiTheme="minorHAnsi"/>
            <w:noProof/>
            <w:sz w:val="22"/>
            <w:szCs w:val="22"/>
          </w:rPr>
          <w:tab/>
        </w:r>
        <w:r w:rsidRPr="002A7A7E">
          <w:rPr>
            <w:rStyle w:val="Hyperlink"/>
            <w:noProof/>
          </w:rPr>
          <w:t>Environmental Protection, Aquatic Exotic Species Control.</w:t>
        </w:r>
        <w:r>
          <w:rPr>
            <w:noProof/>
            <w:webHidden/>
          </w:rPr>
          <w:tab/>
        </w:r>
        <w:r>
          <w:rPr>
            <w:noProof/>
            <w:webHidden/>
          </w:rPr>
          <w:fldChar w:fldCharType="begin"/>
        </w:r>
        <w:r>
          <w:rPr>
            <w:noProof/>
            <w:webHidden/>
          </w:rPr>
          <w:instrText xml:space="preserve"> PAGEREF _Toc23400016 \h </w:instrText>
        </w:r>
        <w:r>
          <w:rPr>
            <w:noProof/>
            <w:webHidden/>
          </w:rPr>
        </w:r>
        <w:r>
          <w:rPr>
            <w:noProof/>
            <w:webHidden/>
          </w:rPr>
          <w:fldChar w:fldCharType="separate"/>
        </w:r>
        <w:r>
          <w:rPr>
            <w:noProof/>
            <w:webHidden/>
          </w:rPr>
          <w:t>6</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7" w:history="1">
        <w:r w:rsidRPr="002A7A7E">
          <w:rPr>
            <w:rStyle w:val="Hyperlink"/>
            <w:rFonts w:cs="Arial"/>
            <w:noProof/>
          </w:rPr>
          <w:t>11.</w:t>
        </w:r>
        <w:r>
          <w:rPr>
            <w:rFonts w:asciiTheme="minorHAnsi" w:eastAsiaTheme="minorEastAsia" w:hAnsiTheme="minorHAnsi"/>
            <w:noProof/>
            <w:sz w:val="22"/>
            <w:szCs w:val="22"/>
          </w:rPr>
          <w:tab/>
        </w:r>
        <w:r w:rsidRPr="002A7A7E">
          <w:rPr>
            <w:rStyle w:val="Hyperlink"/>
            <w:rFonts w:cs="Arial"/>
            <w:noProof/>
          </w:rPr>
          <w:t>Environmental Protection - Dewatering.</w:t>
        </w:r>
        <w:r>
          <w:rPr>
            <w:noProof/>
            <w:webHidden/>
          </w:rPr>
          <w:tab/>
        </w:r>
        <w:r>
          <w:rPr>
            <w:noProof/>
            <w:webHidden/>
          </w:rPr>
          <w:fldChar w:fldCharType="begin"/>
        </w:r>
        <w:r>
          <w:rPr>
            <w:noProof/>
            <w:webHidden/>
          </w:rPr>
          <w:instrText xml:space="preserve"> PAGEREF _Toc23400017 \h </w:instrText>
        </w:r>
        <w:r>
          <w:rPr>
            <w:noProof/>
            <w:webHidden/>
          </w:rPr>
        </w:r>
        <w:r>
          <w:rPr>
            <w:noProof/>
            <w:webHidden/>
          </w:rPr>
          <w:fldChar w:fldCharType="separate"/>
        </w:r>
        <w:r>
          <w:rPr>
            <w:noProof/>
            <w:webHidden/>
          </w:rPr>
          <w:t>7</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8" w:history="1">
        <w:r w:rsidRPr="002A7A7E">
          <w:rPr>
            <w:rStyle w:val="Hyperlink"/>
            <w:noProof/>
          </w:rPr>
          <w:t>12.</w:t>
        </w:r>
        <w:r>
          <w:rPr>
            <w:rFonts w:asciiTheme="minorHAnsi" w:eastAsiaTheme="minorEastAsia" w:hAnsiTheme="minorHAnsi"/>
            <w:noProof/>
            <w:sz w:val="22"/>
            <w:szCs w:val="22"/>
          </w:rPr>
          <w:tab/>
        </w:r>
        <w:r w:rsidRPr="002A7A7E">
          <w:rPr>
            <w:rStyle w:val="Hyperlink"/>
            <w:noProof/>
          </w:rPr>
          <w:t>Erosion Control Structures.</w:t>
        </w:r>
        <w:r>
          <w:rPr>
            <w:noProof/>
            <w:webHidden/>
          </w:rPr>
          <w:tab/>
        </w:r>
        <w:r>
          <w:rPr>
            <w:noProof/>
            <w:webHidden/>
          </w:rPr>
          <w:fldChar w:fldCharType="begin"/>
        </w:r>
        <w:r>
          <w:rPr>
            <w:noProof/>
            <w:webHidden/>
          </w:rPr>
          <w:instrText xml:space="preserve"> PAGEREF _Toc23400018 \h </w:instrText>
        </w:r>
        <w:r>
          <w:rPr>
            <w:noProof/>
            <w:webHidden/>
          </w:rPr>
        </w:r>
        <w:r>
          <w:rPr>
            <w:noProof/>
            <w:webHidden/>
          </w:rPr>
          <w:fldChar w:fldCharType="separate"/>
        </w:r>
        <w:r>
          <w:rPr>
            <w:noProof/>
            <w:webHidden/>
          </w:rPr>
          <w:t>7</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19" w:history="1">
        <w:r w:rsidRPr="002A7A7E">
          <w:rPr>
            <w:rStyle w:val="Hyperlink"/>
            <w:noProof/>
          </w:rPr>
          <w:t>13.</w:t>
        </w:r>
        <w:r>
          <w:rPr>
            <w:rFonts w:asciiTheme="minorHAnsi" w:eastAsiaTheme="minorEastAsia" w:hAnsiTheme="minorHAnsi"/>
            <w:noProof/>
            <w:sz w:val="22"/>
            <w:szCs w:val="22"/>
          </w:rPr>
          <w:tab/>
        </w:r>
        <w:r w:rsidRPr="002A7A7E">
          <w:rPr>
            <w:rStyle w:val="Hyperlink"/>
            <w:noProof/>
          </w:rPr>
          <w:t>Information to Bidders - U.S. Army Corps of Engineers Section 404 Permit (No Permit Obtained).</w:t>
        </w:r>
        <w:r>
          <w:rPr>
            <w:noProof/>
            <w:webHidden/>
          </w:rPr>
          <w:tab/>
        </w:r>
        <w:r>
          <w:rPr>
            <w:noProof/>
            <w:webHidden/>
          </w:rPr>
          <w:fldChar w:fldCharType="begin"/>
        </w:r>
        <w:r>
          <w:rPr>
            <w:noProof/>
            <w:webHidden/>
          </w:rPr>
          <w:instrText xml:space="preserve"> PAGEREF _Toc23400019 \h </w:instrText>
        </w:r>
        <w:r>
          <w:rPr>
            <w:noProof/>
            <w:webHidden/>
          </w:rPr>
        </w:r>
        <w:r>
          <w:rPr>
            <w:noProof/>
            <w:webHidden/>
          </w:rPr>
          <w:fldChar w:fldCharType="separate"/>
        </w:r>
        <w:r>
          <w:rPr>
            <w:noProof/>
            <w:webHidden/>
          </w:rPr>
          <w:t>7</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0" w:history="1">
        <w:r w:rsidRPr="002A7A7E">
          <w:rPr>
            <w:rStyle w:val="Hyperlink"/>
            <w:noProof/>
          </w:rPr>
          <w:t>14.</w:t>
        </w:r>
        <w:r>
          <w:rPr>
            <w:rFonts w:asciiTheme="minorHAnsi" w:eastAsiaTheme="minorEastAsia" w:hAnsiTheme="minorHAnsi"/>
            <w:noProof/>
            <w:sz w:val="22"/>
            <w:szCs w:val="22"/>
          </w:rPr>
          <w:tab/>
        </w:r>
        <w:r w:rsidRPr="002A7A7E">
          <w:rPr>
            <w:rStyle w:val="Hyperlink"/>
            <w:noProof/>
          </w:rPr>
          <w:t>Notice to Contractor – Contamination Beyond Construction Limits.</w:t>
        </w:r>
        <w:r>
          <w:rPr>
            <w:noProof/>
            <w:webHidden/>
          </w:rPr>
          <w:tab/>
        </w:r>
        <w:r>
          <w:rPr>
            <w:noProof/>
            <w:webHidden/>
          </w:rPr>
          <w:fldChar w:fldCharType="begin"/>
        </w:r>
        <w:r>
          <w:rPr>
            <w:noProof/>
            <w:webHidden/>
          </w:rPr>
          <w:instrText xml:space="preserve"> PAGEREF _Toc23400020 \h </w:instrText>
        </w:r>
        <w:r>
          <w:rPr>
            <w:noProof/>
            <w:webHidden/>
          </w:rPr>
        </w:r>
        <w:r>
          <w:rPr>
            <w:noProof/>
            <w:webHidden/>
          </w:rPr>
          <w:fldChar w:fldCharType="separate"/>
        </w:r>
        <w:r>
          <w:rPr>
            <w:noProof/>
            <w:webHidden/>
          </w:rPr>
          <w:t>8</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1" w:history="1">
        <w:r w:rsidRPr="002A7A7E">
          <w:rPr>
            <w:rStyle w:val="Hyperlink"/>
            <w:noProof/>
          </w:rPr>
          <w:t>15.</w:t>
        </w:r>
        <w:r>
          <w:rPr>
            <w:rFonts w:asciiTheme="minorHAnsi" w:eastAsiaTheme="minorEastAsia" w:hAnsiTheme="minorHAnsi"/>
            <w:noProof/>
            <w:sz w:val="22"/>
            <w:szCs w:val="22"/>
          </w:rPr>
          <w:tab/>
        </w:r>
        <w:r w:rsidRPr="002A7A7E">
          <w:rPr>
            <w:rStyle w:val="Hyperlink"/>
            <w:noProof/>
          </w:rPr>
          <w:t>Notice to Contractor, Notification of Demolition and/or Renovation No Asbestos Found.</w:t>
        </w:r>
        <w:r>
          <w:rPr>
            <w:noProof/>
            <w:webHidden/>
          </w:rPr>
          <w:tab/>
        </w:r>
        <w:r>
          <w:rPr>
            <w:noProof/>
            <w:webHidden/>
          </w:rPr>
          <w:fldChar w:fldCharType="begin"/>
        </w:r>
        <w:r>
          <w:rPr>
            <w:noProof/>
            <w:webHidden/>
          </w:rPr>
          <w:instrText xml:space="preserve"> PAGEREF _Toc23400021 \h </w:instrText>
        </w:r>
        <w:r>
          <w:rPr>
            <w:noProof/>
            <w:webHidden/>
          </w:rPr>
        </w:r>
        <w:r>
          <w:rPr>
            <w:noProof/>
            <w:webHidden/>
          </w:rPr>
          <w:fldChar w:fldCharType="separate"/>
        </w:r>
        <w:r>
          <w:rPr>
            <w:noProof/>
            <w:webHidden/>
          </w:rPr>
          <w:t>8</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2" w:history="1">
        <w:r w:rsidRPr="002A7A7E">
          <w:rPr>
            <w:rStyle w:val="Hyperlink"/>
            <w:rFonts w:cs="Arial"/>
            <w:noProof/>
          </w:rPr>
          <w:t>16.</w:t>
        </w:r>
        <w:r>
          <w:rPr>
            <w:rFonts w:asciiTheme="minorHAnsi" w:eastAsiaTheme="minorEastAsia" w:hAnsiTheme="minorHAnsi"/>
            <w:noProof/>
            <w:sz w:val="22"/>
            <w:szCs w:val="22"/>
          </w:rPr>
          <w:tab/>
        </w:r>
        <w:r w:rsidRPr="002A7A7E">
          <w:rPr>
            <w:rStyle w:val="Hyperlink"/>
            <w:rFonts w:cs="Arial"/>
            <w:noProof/>
          </w:rPr>
          <w:t>Public Convenience and Safety.</w:t>
        </w:r>
        <w:r>
          <w:rPr>
            <w:noProof/>
            <w:webHidden/>
          </w:rPr>
          <w:tab/>
        </w:r>
        <w:r>
          <w:rPr>
            <w:noProof/>
            <w:webHidden/>
          </w:rPr>
          <w:fldChar w:fldCharType="begin"/>
        </w:r>
        <w:r>
          <w:rPr>
            <w:noProof/>
            <w:webHidden/>
          </w:rPr>
          <w:instrText xml:space="preserve"> PAGEREF _Toc23400022 \h </w:instrText>
        </w:r>
        <w:r>
          <w:rPr>
            <w:noProof/>
            <w:webHidden/>
          </w:rPr>
        </w:r>
        <w:r>
          <w:rPr>
            <w:noProof/>
            <w:webHidden/>
          </w:rPr>
          <w:fldChar w:fldCharType="separate"/>
        </w:r>
        <w:r>
          <w:rPr>
            <w:noProof/>
            <w:webHidden/>
          </w:rPr>
          <w:t>8</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3" w:history="1">
        <w:r w:rsidRPr="002A7A7E">
          <w:rPr>
            <w:rStyle w:val="Hyperlink"/>
            <w:noProof/>
          </w:rPr>
          <w:t>17.</w:t>
        </w:r>
        <w:r>
          <w:rPr>
            <w:rFonts w:asciiTheme="minorHAnsi" w:eastAsiaTheme="minorEastAsia" w:hAnsiTheme="minorHAnsi"/>
            <w:noProof/>
            <w:sz w:val="22"/>
            <w:szCs w:val="22"/>
          </w:rPr>
          <w:tab/>
        </w:r>
        <w:r w:rsidRPr="002A7A7E">
          <w:rPr>
            <w:rStyle w:val="Hyperlink"/>
            <w:noProof/>
          </w:rPr>
          <w:t xml:space="preserve">Removing Old Structure Over Waterway With Minimal Debris Station </w:t>
        </w:r>
        <w:r w:rsidRPr="002A7A7E">
          <w:rPr>
            <w:rStyle w:val="Hyperlink"/>
            <w:noProof/>
            <w:highlight w:val="lightGray"/>
          </w:rPr>
          <w:t>10+00</w:t>
        </w:r>
        <w:r w:rsidRPr="002A7A7E">
          <w:rPr>
            <w:rStyle w:val="Hyperlink"/>
            <w:noProof/>
          </w:rPr>
          <w:t>, Item 203.0600.S.</w:t>
        </w:r>
        <w:r>
          <w:rPr>
            <w:noProof/>
            <w:webHidden/>
          </w:rPr>
          <w:tab/>
        </w:r>
        <w:r>
          <w:rPr>
            <w:noProof/>
            <w:webHidden/>
          </w:rPr>
          <w:fldChar w:fldCharType="begin"/>
        </w:r>
        <w:r>
          <w:rPr>
            <w:noProof/>
            <w:webHidden/>
          </w:rPr>
          <w:instrText xml:space="preserve"> PAGEREF _Toc23400023 \h </w:instrText>
        </w:r>
        <w:r>
          <w:rPr>
            <w:noProof/>
            <w:webHidden/>
          </w:rPr>
        </w:r>
        <w:r>
          <w:rPr>
            <w:noProof/>
            <w:webHidden/>
          </w:rPr>
          <w:fldChar w:fldCharType="separate"/>
        </w:r>
        <w:r>
          <w:rPr>
            <w:noProof/>
            <w:webHidden/>
          </w:rPr>
          <w:t>9</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4" w:history="1">
        <w:r w:rsidRPr="002A7A7E">
          <w:rPr>
            <w:rStyle w:val="Hyperlink"/>
            <w:rFonts w:cs="Arial"/>
            <w:noProof/>
          </w:rPr>
          <w:t>18.</w:t>
        </w:r>
        <w:r>
          <w:rPr>
            <w:rFonts w:asciiTheme="minorHAnsi" w:eastAsiaTheme="minorEastAsia" w:hAnsiTheme="minorHAnsi"/>
            <w:noProof/>
            <w:sz w:val="22"/>
            <w:szCs w:val="22"/>
          </w:rPr>
          <w:tab/>
        </w:r>
        <w:r w:rsidRPr="002A7A7E">
          <w:rPr>
            <w:rStyle w:val="Hyperlink"/>
            <w:rFonts w:cs="Arial"/>
            <w:noProof/>
          </w:rPr>
          <w:t>Protecting Concrete.</w:t>
        </w:r>
        <w:r>
          <w:rPr>
            <w:noProof/>
            <w:webHidden/>
          </w:rPr>
          <w:tab/>
        </w:r>
        <w:r>
          <w:rPr>
            <w:noProof/>
            <w:webHidden/>
          </w:rPr>
          <w:fldChar w:fldCharType="begin"/>
        </w:r>
        <w:r>
          <w:rPr>
            <w:noProof/>
            <w:webHidden/>
          </w:rPr>
          <w:instrText xml:space="preserve"> PAGEREF _Toc23400024 \h </w:instrText>
        </w:r>
        <w:r>
          <w:rPr>
            <w:noProof/>
            <w:webHidden/>
          </w:rPr>
        </w:r>
        <w:r>
          <w:rPr>
            <w:noProof/>
            <w:webHidden/>
          </w:rPr>
          <w:fldChar w:fldCharType="separate"/>
        </w:r>
        <w:r>
          <w:rPr>
            <w:noProof/>
            <w:webHidden/>
          </w:rPr>
          <w:t>9</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5" w:history="1">
        <w:r w:rsidRPr="002A7A7E">
          <w:rPr>
            <w:rStyle w:val="Hyperlink"/>
            <w:noProof/>
          </w:rPr>
          <w:t>19.</w:t>
        </w:r>
        <w:r>
          <w:rPr>
            <w:rFonts w:asciiTheme="minorHAnsi" w:eastAsiaTheme="minorEastAsia" w:hAnsiTheme="minorHAnsi"/>
            <w:noProof/>
            <w:sz w:val="22"/>
            <w:szCs w:val="22"/>
          </w:rPr>
          <w:tab/>
        </w:r>
        <w:r w:rsidRPr="002A7A7E">
          <w:rPr>
            <w:rStyle w:val="Hyperlink"/>
            <w:noProof/>
          </w:rPr>
          <w:t xml:space="preserve">Concrete Staining Multi-Color </w:t>
        </w:r>
        <w:r w:rsidRPr="002A7A7E">
          <w:rPr>
            <w:rStyle w:val="Hyperlink"/>
            <w:noProof/>
            <w:highlight w:val="lightGray"/>
          </w:rPr>
          <w:t>B-68-0133</w:t>
        </w:r>
        <w:r w:rsidRPr="002A7A7E">
          <w:rPr>
            <w:rStyle w:val="Hyperlink"/>
            <w:noProof/>
          </w:rPr>
          <w:t>, Item 517.1015.S.</w:t>
        </w:r>
        <w:r>
          <w:rPr>
            <w:noProof/>
            <w:webHidden/>
          </w:rPr>
          <w:tab/>
        </w:r>
        <w:r>
          <w:rPr>
            <w:noProof/>
            <w:webHidden/>
          </w:rPr>
          <w:fldChar w:fldCharType="begin"/>
        </w:r>
        <w:r>
          <w:rPr>
            <w:noProof/>
            <w:webHidden/>
          </w:rPr>
          <w:instrText xml:space="preserve"> PAGEREF _Toc23400025 \h </w:instrText>
        </w:r>
        <w:r>
          <w:rPr>
            <w:noProof/>
            <w:webHidden/>
          </w:rPr>
        </w:r>
        <w:r>
          <w:rPr>
            <w:noProof/>
            <w:webHidden/>
          </w:rPr>
          <w:fldChar w:fldCharType="separate"/>
        </w:r>
        <w:r>
          <w:rPr>
            <w:noProof/>
            <w:webHidden/>
          </w:rPr>
          <w:t>10</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6" w:history="1">
        <w:r w:rsidRPr="002A7A7E">
          <w:rPr>
            <w:rStyle w:val="Hyperlink"/>
            <w:noProof/>
          </w:rPr>
          <w:t>20.</w:t>
        </w:r>
        <w:r>
          <w:rPr>
            <w:rFonts w:asciiTheme="minorHAnsi" w:eastAsiaTheme="minorEastAsia" w:hAnsiTheme="minorHAnsi"/>
            <w:noProof/>
            <w:sz w:val="22"/>
            <w:szCs w:val="22"/>
          </w:rPr>
          <w:tab/>
        </w:r>
        <w:r w:rsidRPr="002A7A7E">
          <w:rPr>
            <w:rStyle w:val="Hyperlink"/>
            <w:noProof/>
          </w:rPr>
          <w:t xml:space="preserve">Architectural Surface Treatment </w:t>
        </w:r>
        <w:r w:rsidRPr="002A7A7E">
          <w:rPr>
            <w:rStyle w:val="Hyperlink"/>
            <w:noProof/>
            <w:highlight w:val="lightGray"/>
          </w:rPr>
          <w:t>B-68-0133</w:t>
        </w:r>
        <w:r w:rsidRPr="002A7A7E">
          <w:rPr>
            <w:rStyle w:val="Hyperlink"/>
            <w:noProof/>
          </w:rPr>
          <w:t>, Item 517.1050.S.</w:t>
        </w:r>
        <w:r>
          <w:rPr>
            <w:noProof/>
            <w:webHidden/>
          </w:rPr>
          <w:tab/>
        </w:r>
        <w:r>
          <w:rPr>
            <w:noProof/>
            <w:webHidden/>
          </w:rPr>
          <w:fldChar w:fldCharType="begin"/>
        </w:r>
        <w:r>
          <w:rPr>
            <w:noProof/>
            <w:webHidden/>
          </w:rPr>
          <w:instrText xml:space="preserve"> PAGEREF _Toc23400026 \h </w:instrText>
        </w:r>
        <w:r>
          <w:rPr>
            <w:noProof/>
            <w:webHidden/>
          </w:rPr>
        </w:r>
        <w:r>
          <w:rPr>
            <w:noProof/>
            <w:webHidden/>
          </w:rPr>
          <w:fldChar w:fldCharType="separate"/>
        </w:r>
        <w:r>
          <w:rPr>
            <w:noProof/>
            <w:webHidden/>
          </w:rPr>
          <w:t>11</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7" w:history="1">
        <w:r w:rsidRPr="002A7A7E">
          <w:rPr>
            <w:rStyle w:val="Hyperlink"/>
            <w:noProof/>
          </w:rPr>
          <w:t>21.</w:t>
        </w:r>
        <w:r>
          <w:rPr>
            <w:rFonts w:asciiTheme="minorHAnsi" w:eastAsiaTheme="minorEastAsia" w:hAnsiTheme="minorHAnsi"/>
            <w:noProof/>
            <w:sz w:val="22"/>
            <w:szCs w:val="22"/>
          </w:rPr>
          <w:tab/>
        </w:r>
        <w:r w:rsidRPr="002A7A7E">
          <w:rPr>
            <w:rStyle w:val="Hyperlink"/>
            <w:noProof/>
          </w:rPr>
          <w:t>Field Facilities.</w:t>
        </w:r>
        <w:r>
          <w:rPr>
            <w:noProof/>
            <w:webHidden/>
          </w:rPr>
          <w:tab/>
        </w:r>
        <w:r>
          <w:rPr>
            <w:noProof/>
            <w:webHidden/>
          </w:rPr>
          <w:fldChar w:fldCharType="begin"/>
        </w:r>
        <w:r>
          <w:rPr>
            <w:noProof/>
            <w:webHidden/>
          </w:rPr>
          <w:instrText xml:space="preserve"> PAGEREF _Toc23400027 \h </w:instrText>
        </w:r>
        <w:r>
          <w:rPr>
            <w:noProof/>
            <w:webHidden/>
          </w:rPr>
        </w:r>
        <w:r>
          <w:rPr>
            <w:noProof/>
            <w:webHidden/>
          </w:rPr>
          <w:fldChar w:fldCharType="separate"/>
        </w:r>
        <w:r>
          <w:rPr>
            <w:noProof/>
            <w:webHidden/>
          </w:rPr>
          <w:t>12</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8" w:history="1">
        <w:r w:rsidRPr="002A7A7E">
          <w:rPr>
            <w:rStyle w:val="Hyperlink"/>
            <w:rFonts w:cs="Arial"/>
            <w:noProof/>
          </w:rPr>
          <w:t>22.</w:t>
        </w:r>
        <w:r>
          <w:rPr>
            <w:rFonts w:asciiTheme="minorHAnsi" w:eastAsiaTheme="minorEastAsia" w:hAnsiTheme="minorHAnsi"/>
            <w:noProof/>
            <w:sz w:val="22"/>
            <w:szCs w:val="22"/>
          </w:rPr>
          <w:tab/>
        </w:r>
        <w:r w:rsidRPr="002A7A7E">
          <w:rPr>
            <w:rStyle w:val="Hyperlink"/>
            <w:rFonts w:cs="Arial"/>
            <w:noProof/>
          </w:rPr>
          <w:t>Traffic Control.</w:t>
        </w:r>
        <w:r>
          <w:rPr>
            <w:noProof/>
            <w:webHidden/>
          </w:rPr>
          <w:tab/>
        </w:r>
        <w:r>
          <w:rPr>
            <w:noProof/>
            <w:webHidden/>
          </w:rPr>
          <w:fldChar w:fldCharType="begin"/>
        </w:r>
        <w:r>
          <w:rPr>
            <w:noProof/>
            <w:webHidden/>
          </w:rPr>
          <w:instrText xml:space="preserve"> PAGEREF _Toc23400028 \h </w:instrText>
        </w:r>
        <w:r>
          <w:rPr>
            <w:noProof/>
            <w:webHidden/>
          </w:rPr>
        </w:r>
        <w:r>
          <w:rPr>
            <w:noProof/>
            <w:webHidden/>
          </w:rPr>
          <w:fldChar w:fldCharType="separate"/>
        </w:r>
        <w:r>
          <w:rPr>
            <w:noProof/>
            <w:webHidden/>
          </w:rPr>
          <w:t>12</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29" w:history="1">
        <w:r w:rsidRPr="002A7A7E">
          <w:rPr>
            <w:rStyle w:val="Hyperlink"/>
            <w:noProof/>
          </w:rPr>
          <w:t>23.</w:t>
        </w:r>
        <w:r>
          <w:rPr>
            <w:rFonts w:asciiTheme="minorHAnsi" w:eastAsiaTheme="minorEastAsia" w:hAnsiTheme="minorHAnsi"/>
            <w:noProof/>
            <w:sz w:val="22"/>
            <w:szCs w:val="22"/>
          </w:rPr>
          <w:tab/>
        </w:r>
        <w:r w:rsidRPr="002A7A7E">
          <w:rPr>
            <w:rStyle w:val="Hyperlink"/>
            <w:noProof/>
          </w:rPr>
          <w:t>Electrical Service Meter Breaker Pedestal STH 49, Item 656.0200.01.</w:t>
        </w:r>
        <w:r>
          <w:rPr>
            <w:noProof/>
            <w:webHidden/>
          </w:rPr>
          <w:tab/>
        </w:r>
        <w:r>
          <w:rPr>
            <w:noProof/>
            <w:webHidden/>
          </w:rPr>
          <w:fldChar w:fldCharType="begin"/>
        </w:r>
        <w:r>
          <w:rPr>
            <w:noProof/>
            <w:webHidden/>
          </w:rPr>
          <w:instrText xml:space="preserve"> PAGEREF _Toc23400029 \h </w:instrText>
        </w:r>
        <w:r>
          <w:rPr>
            <w:noProof/>
            <w:webHidden/>
          </w:rPr>
        </w:r>
        <w:r>
          <w:rPr>
            <w:noProof/>
            <w:webHidden/>
          </w:rPr>
          <w:fldChar w:fldCharType="separate"/>
        </w:r>
        <w:r>
          <w:rPr>
            <w:noProof/>
            <w:webHidden/>
          </w:rPr>
          <w:t>12</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30" w:history="1">
        <w:r w:rsidRPr="002A7A7E">
          <w:rPr>
            <w:rStyle w:val="Hyperlink"/>
            <w:noProof/>
          </w:rPr>
          <w:t>24.</w:t>
        </w:r>
        <w:r>
          <w:rPr>
            <w:rFonts w:asciiTheme="minorHAnsi" w:eastAsiaTheme="minorEastAsia" w:hAnsiTheme="minorHAnsi"/>
            <w:noProof/>
            <w:sz w:val="22"/>
            <w:szCs w:val="22"/>
          </w:rPr>
          <w:tab/>
        </w:r>
        <w:r w:rsidRPr="002A7A7E">
          <w:rPr>
            <w:rStyle w:val="Hyperlink"/>
            <w:noProof/>
          </w:rPr>
          <w:t>Electrical Service Breaker Disconnect Box STH 49, Item 656.0500.01.</w:t>
        </w:r>
        <w:r>
          <w:rPr>
            <w:noProof/>
            <w:webHidden/>
          </w:rPr>
          <w:tab/>
        </w:r>
        <w:r>
          <w:rPr>
            <w:noProof/>
            <w:webHidden/>
          </w:rPr>
          <w:fldChar w:fldCharType="begin"/>
        </w:r>
        <w:r>
          <w:rPr>
            <w:noProof/>
            <w:webHidden/>
          </w:rPr>
          <w:instrText xml:space="preserve"> PAGEREF _Toc23400030 \h </w:instrText>
        </w:r>
        <w:r>
          <w:rPr>
            <w:noProof/>
            <w:webHidden/>
          </w:rPr>
        </w:r>
        <w:r>
          <w:rPr>
            <w:noProof/>
            <w:webHidden/>
          </w:rPr>
          <w:fldChar w:fldCharType="separate"/>
        </w:r>
        <w:r>
          <w:rPr>
            <w:noProof/>
            <w:webHidden/>
          </w:rPr>
          <w:t>13</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31" w:history="1">
        <w:r w:rsidRPr="002A7A7E">
          <w:rPr>
            <w:rStyle w:val="Hyperlink"/>
            <w:noProof/>
          </w:rPr>
          <w:t>25.</w:t>
        </w:r>
        <w:r>
          <w:rPr>
            <w:rFonts w:asciiTheme="minorHAnsi" w:eastAsiaTheme="minorEastAsia" w:hAnsiTheme="minorHAnsi"/>
            <w:noProof/>
            <w:sz w:val="22"/>
            <w:szCs w:val="22"/>
          </w:rPr>
          <w:tab/>
        </w:r>
        <w:r w:rsidRPr="002A7A7E">
          <w:rPr>
            <w:rStyle w:val="Hyperlink"/>
            <w:noProof/>
          </w:rPr>
          <w:t>Light Pole Assembly, Item SPV.0060.01.</w:t>
        </w:r>
        <w:r>
          <w:rPr>
            <w:noProof/>
            <w:webHidden/>
          </w:rPr>
          <w:tab/>
        </w:r>
        <w:r>
          <w:rPr>
            <w:noProof/>
            <w:webHidden/>
          </w:rPr>
          <w:fldChar w:fldCharType="begin"/>
        </w:r>
        <w:r>
          <w:rPr>
            <w:noProof/>
            <w:webHidden/>
          </w:rPr>
          <w:instrText xml:space="preserve"> PAGEREF _Toc23400031 \h </w:instrText>
        </w:r>
        <w:r>
          <w:rPr>
            <w:noProof/>
            <w:webHidden/>
          </w:rPr>
        </w:r>
        <w:r>
          <w:rPr>
            <w:noProof/>
            <w:webHidden/>
          </w:rPr>
          <w:fldChar w:fldCharType="separate"/>
        </w:r>
        <w:r>
          <w:rPr>
            <w:noProof/>
            <w:webHidden/>
          </w:rPr>
          <w:t>13</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32" w:history="1">
        <w:r w:rsidRPr="002A7A7E">
          <w:rPr>
            <w:rStyle w:val="Hyperlink"/>
            <w:rFonts w:cs="Arial"/>
            <w:noProof/>
          </w:rPr>
          <w:t>26.</w:t>
        </w:r>
        <w:r>
          <w:rPr>
            <w:rFonts w:asciiTheme="minorHAnsi" w:eastAsiaTheme="minorEastAsia" w:hAnsiTheme="minorHAnsi"/>
            <w:noProof/>
            <w:sz w:val="22"/>
            <w:szCs w:val="22"/>
          </w:rPr>
          <w:tab/>
        </w:r>
        <w:r w:rsidRPr="002A7A7E">
          <w:rPr>
            <w:rStyle w:val="Hyperlink"/>
            <w:rFonts w:cs="Arial"/>
            <w:noProof/>
          </w:rPr>
          <w:t>Lighting Control Cabinet 120/240 30-Inch Special, Item SPV.0060.02.</w:t>
        </w:r>
        <w:r>
          <w:rPr>
            <w:noProof/>
            <w:webHidden/>
          </w:rPr>
          <w:tab/>
        </w:r>
        <w:r>
          <w:rPr>
            <w:noProof/>
            <w:webHidden/>
          </w:rPr>
          <w:fldChar w:fldCharType="begin"/>
        </w:r>
        <w:r>
          <w:rPr>
            <w:noProof/>
            <w:webHidden/>
          </w:rPr>
          <w:instrText xml:space="preserve"> PAGEREF _Toc23400032 \h </w:instrText>
        </w:r>
        <w:r>
          <w:rPr>
            <w:noProof/>
            <w:webHidden/>
          </w:rPr>
        </w:r>
        <w:r>
          <w:rPr>
            <w:noProof/>
            <w:webHidden/>
          </w:rPr>
          <w:fldChar w:fldCharType="separate"/>
        </w:r>
        <w:r>
          <w:rPr>
            <w:noProof/>
            <w:webHidden/>
          </w:rPr>
          <w:t>14</w:t>
        </w:r>
        <w:r>
          <w:rPr>
            <w:noProof/>
            <w:webHidden/>
          </w:rPr>
          <w:fldChar w:fldCharType="end"/>
        </w:r>
      </w:hyperlink>
    </w:p>
    <w:p w:rsidR="00625E8F" w:rsidRDefault="00625E8F">
      <w:pPr>
        <w:pStyle w:val="TOC1"/>
        <w:rPr>
          <w:rFonts w:asciiTheme="minorHAnsi" w:eastAsiaTheme="minorEastAsia" w:hAnsiTheme="minorHAnsi"/>
          <w:noProof/>
          <w:sz w:val="22"/>
          <w:szCs w:val="22"/>
        </w:rPr>
      </w:pPr>
      <w:hyperlink w:anchor="_Toc23400033" w:history="1">
        <w:r w:rsidRPr="002A7A7E">
          <w:rPr>
            <w:rStyle w:val="Hyperlink"/>
            <w:rFonts w:cs="Arial"/>
            <w:noProof/>
          </w:rPr>
          <w:t>27.</w:t>
        </w:r>
        <w:r>
          <w:rPr>
            <w:rFonts w:asciiTheme="minorHAnsi" w:eastAsiaTheme="minorEastAsia" w:hAnsiTheme="minorHAnsi"/>
            <w:noProof/>
            <w:sz w:val="22"/>
            <w:szCs w:val="22"/>
          </w:rPr>
          <w:tab/>
        </w:r>
        <w:r w:rsidRPr="002A7A7E">
          <w:rPr>
            <w:rStyle w:val="Hyperlink"/>
            <w:rFonts w:cs="Arial"/>
            <w:noProof/>
          </w:rPr>
          <w:t>Excavation, Hauling, and Disposal of Lead Contaminated Soil, Item SPV.195.01.</w:t>
        </w:r>
        <w:r>
          <w:rPr>
            <w:noProof/>
            <w:webHidden/>
          </w:rPr>
          <w:tab/>
        </w:r>
        <w:r>
          <w:rPr>
            <w:noProof/>
            <w:webHidden/>
          </w:rPr>
          <w:fldChar w:fldCharType="begin"/>
        </w:r>
        <w:r>
          <w:rPr>
            <w:noProof/>
            <w:webHidden/>
          </w:rPr>
          <w:instrText xml:space="preserve"> PAGEREF _Toc23400033 \h </w:instrText>
        </w:r>
        <w:r>
          <w:rPr>
            <w:noProof/>
            <w:webHidden/>
          </w:rPr>
        </w:r>
        <w:r>
          <w:rPr>
            <w:noProof/>
            <w:webHidden/>
          </w:rPr>
          <w:fldChar w:fldCharType="separate"/>
        </w:r>
        <w:r>
          <w:rPr>
            <w:noProof/>
            <w:webHidden/>
          </w:rPr>
          <w:t>15</w:t>
        </w:r>
        <w:r>
          <w:rPr>
            <w:noProof/>
            <w:webHidden/>
          </w:rPr>
          <w:fldChar w:fldCharType="end"/>
        </w:r>
      </w:hyperlink>
    </w:p>
    <w:p w:rsidR="00323052" w:rsidRPr="00EA080F" w:rsidRDefault="00CF5A0F" w:rsidP="00D439F7">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rsidR="00323052" w:rsidRPr="00EA080F" w:rsidRDefault="00BE2267" w:rsidP="0049548F">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4F05C1">
        <w:rPr>
          <w:rFonts w:cs="Arial"/>
          <w:b/>
          <w:sz w:val="22"/>
        </w:rPr>
        <w:t xml:space="preserve">June </w:t>
      </w:r>
      <w:r w:rsidR="004E2D95">
        <w:rPr>
          <w:rFonts w:cs="Arial"/>
          <w:b/>
          <w:sz w:val="22"/>
        </w:rPr>
        <w:t>1</w:t>
      </w:r>
      <w:r w:rsidR="004F05C1">
        <w:rPr>
          <w:rFonts w:cs="Arial"/>
          <w:b/>
          <w:sz w:val="22"/>
        </w:rPr>
        <w:t>8, 201</w:t>
      </w:r>
      <w:r w:rsidR="004E2D95">
        <w:rPr>
          <w:rFonts w:cs="Arial"/>
          <w:b/>
          <w:sz w:val="22"/>
        </w:rPr>
        <w:t>9</w:t>
      </w:r>
    </w:p>
    <w:p w:rsidR="00323052" w:rsidRPr="00EA080F" w:rsidRDefault="00BE2267" w:rsidP="0049548F">
      <w:pPr>
        <w:jc w:val="center"/>
        <w:rPr>
          <w:rFonts w:cs="Arial"/>
          <w:b/>
          <w:sz w:val="22"/>
        </w:rPr>
      </w:pPr>
      <w:r w:rsidRPr="00EA080F">
        <w:rPr>
          <w:rFonts w:cs="Arial"/>
          <w:b/>
          <w:sz w:val="22"/>
        </w:rPr>
        <w:t>SPECIAL PROVISIONS</w:t>
      </w:r>
    </w:p>
    <w:p w:rsidR="00323052" w:rsidRPr="00BB2F2F" w:rsidRDefault="00BE2267" w:rsidP="00D439F7">
      <w:pPr>
        <w:pStyle w:val="1Heading1"/>
        <w:numPr>
          <w:ilvl w:val="0"/>
          <w:numId w:val="1"/>
        </w:numPr>
        <w:ind w:left="0" w:hanging="720"/>
        <w:rPr>
          <w:rFonts w:cs="Arial"/>
        </w:rPr>
      </w:pPr>
      <w:bookmarkStart w:id="1" w:name="_Toc23400007"/>
      <w:r w:rsidRPr="003E0862">
        <w:rPr>
          <w:rFonts w:cs="Arial"/>
        </w:rPr>
        <w:t>General</w:t>
      </w:r>
      <w:r w:rsidRPr="00BB2F2F">
        <w:rPr>
          <w:rFonts w:cs="Arial"/>
        </w:rPr>
        <w:t>.</w:t>
      </w:r>
      <w:bookmarkEnd w:id="1"/>
    </w:p>
    <w:p w:rsidR="00323052" w:rsidRDefault="00BE2267" w:rsidP="00D439F7">
      <w:pPr>
        <w:pStyle w:val="spParagraph"/>
      </w:pPr>
      <w:r>
        <w:t xml:space="preserve">Perform the work under this construction contract for Project </w:t>
      </w:r>
      <w:r w:rsidR="00B27DAC">
        <w:fldChar w:fldCharType="begin">
          <w:ffData>
            <w:name w:val="Text1"/>
            <w:enabled/>
            <w:calcOnExit w:val="0"/>
            <w:textInput>
              <w:default w:val="ID 6270-00-74, STH 49, V Iola, Main Street, S Br Little Wolf, B-68-0133, Waupaca County"/>
            </w:textInput>
          </w:ffData>
        </w:fldChar>
      </w:r>
      <w:bookmarkStart w:id="2" w:name="Text1"/>
      <w:r w:rsidR="00B27DAC">
        <w:instrText xml:space="preserve"> FORMTEXT </w:instrText>
      </w:r>
      <w:r w:rsidR="00B27DAC">
        <w:fldChar w:fldCharType="separate"/>
      </w:r>
      <w:r w:rsidR="00B27DAC">
        <w:rPr>
          <w:noProof/>
        </w:rPr>
        <w:t>ID 6270-00-74, STH 49, V Iola, Main Street, S Br Little Wolf, B-68-0133, Waupaca County</w:t>
      </w:r>
      <w:r w:rsidR="00B27DAC">
        <w:fldChar w:fldCharType="end"/>
      </w:r>
      <w:bookmarkEnd w:id="2"/>
      <w:r>
        <w:t>, Wisconsin as the plans show and execute the work as specified in the State of Wisconsin, Department of Transportation, Standard Specifications for Highway and Structure Construction, 20</w:t>
      </w:r>
      <w:r w:rsidR="003D7523">
        <w:t>20</w:t>
      </w:r>
      <w:r>
        <w:t xml:space="preserve"> Edition, as published by the department, and these special provisions.</w:t>
      </w:r>
    </w:p>
    <w:p w:rsidR="00323052" w:rsidRDefault="00BE2267" w:rsidP="00D439F7">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323052" w:rsidRPr="00CB3813" w:rsidRDefault="00EB38E2" w:rsidP="00D439F7">
      <w:pPr>
        <w:pStyle w:val="spVersion"/>
        <w:rPr>
          <w:szCs w:val="18"/>
        </w:rPr>
      </w:pPr>
      <w:r w:rsidRPr="00CB3813">
        <w:rPr>
          <w:szCs w:val="18"/>
        </w:rPr>
        <w:t>100-005 (201</w:t>
      </w:r>
      <w:r w:rsidR="004F05C1" w:rsidRPr="00CB3813">
        <w:rPr>
          <w:szCs w:val="18"/>
        </w:rPr>
        <w:t>806</w:t>
      </w:r>
      <w:r w:rsidR="004E2D95" w:rsidRPr="00CB3813">
        <w:rPr>
          <w:szCs w:val="18"/>
        </w:rPr>
        <w:t>18</w:t>
      </w:r>
      <w:r w:rsidR="00BE2267" w:rsidRPr="00CB3813">
        <w:rPr>
          <w:szCs w:val="18"/>
        </w:rPr>
        <w:t>)</w:t>
      </w:r>
    </w:p>
    <w:p w:rsidR="00323052" w:rsidRPr="00BB2F2F" w:rsidRDefault="00BE2267" w:rsidP="00D439F7">
      <w:pPr>
        <w:pStyle w:val="1Heading1"/>
        <w:numPr>
          <w:ilvl w:val="0"/>
          <w:numId w:val="1"/>
        </w:numPr>
        <w:ind w:left="0" w:hanging="720"/>
        <w:rPr>
          <w:rFonts w:cs="Arial"/>
        </w:rPr>
      </w:pPr>
      <w:bookmarkStart w:id="3" w:name="_Toc23400008"/>
      <w:r w:rsidRPr="003E0862">
        <w:rPr>
          <w:rFonts w:cs="Arial"/>
        </w:rPr>
        <w:t>Scope of Work.</w:t>
      </w:r>
      <w:bookmarkEnd w:id="3"/>
    </w:p>
    <w:p w:rsidR="00B27DAC" w:rsidRDefault="00B27DAC" w:rsidP="00D439F7">
      <w:pPr>
        <w:pStyle w:val="spVersion"/>
        <w:rPr>
          <w:sz w:val="20"/>
          <w:szCs w:val="28"/>
        </w:rPr>
      </w:pPr>
      <w:r w:rsidRPr="00B27DAC">
        <w:rPr>
          <w:sz w:val="20"/>
          <w:szCs w:val="28"/>
        </w:rPr>
        <w:t>The work under this contract shall consist of bridge replacement, concrete approach slabs, base aggregate dense, asphaltic pavement, curb and gutter, sidewalk, street lighting, storm sewer, grading and all incidental items necessary to complete the work as shown on the plans and included in the proposal and contract.</w:t>
      </w:r>
    </w:p>
    <w:p w:rsidR="00323052" w:rsidRPr="00CB3813" w:rsidRDefault="00BE2267" w:rsidP="00D439F7">
      <w:pPr>
        <w:pStyle w:val="spVersion"/>
        <w:rPr>
          <w:szCs w:val="18"/>
        </w:rPr>
      </w:pPr>
      <w:r w:rsidRPr="00CB3813">
        <w:rPr>
          <w:szCs w:val="18"/>
        </w:rPr>
        <w:t>104-005 (20090901)</w:t>
      </w:r>
    </w:p>
    <w:p w:rsidR="00323052" w:rsidRPr="00BB2F2F" w:rsidRDefault="00BE2267" w:rsidP="00D439F7">
      <w:pPr>
        <w:pStyle w:val="1Heading1"/>
        <w:numPr>
          <w:ilvl w:val="0"/>
          <w:numId w:val="1"/>
        </w:numPr>
        <w:ind w:left="0" w:hanging="720"/>
        <w:rPr>
          <w:rFonts w:cs="Arial"/>
        </w:rPr>
      </w:pPr>
      <w:bookmarkStart w:id="4" w:name="_Toc23400009"/>
      <w:r w:rsidRPr="003E0862">
        <w:rPr>
          <w:rFonts w:cs="Arial"/>
        </w:rPr>
        <w:t>Prosecution and Progress.</w:t>
      </w:r>
      <w:bookmarkEnd w:id="4"/>
    </w:p>
    <w:p w:rsidR="0062046A" w:rsidRDefault="00BE2267" w:rsidP="00D439F7">
      <w:pPr>
        <w:pStyle w:val="spParagraph"/>
      </w:pPr>
      <w:r w:rsidRPr="00C158F5">
        <w:t>Begin work within ten calendar days after the engineer issues a written notice to do so.</w:t>
      </w:r>
    </w:p>
    <w:p w:rsidR="00F52055" w:rsidRDefault="00F52055" w:rsidP="00D439F7">
      <w:pPr>
        <w:pStyle w:val="spParagraph"/>
      </w:pPr>
      <w:r>
        <w:t xml:space="preserve">Provide the time frame for construction of the project within the </w:t>
      </w:r>
      <w:r>
        <w:fldChar w:fldCharType="begin">
          <w:ffData>
            <w:name w:val="Text7"/>
            <w:enabled/>
            <w:calcOnExit w:val="0"/>
            <w:textInput>
              <w:default w:val="2020"/>
            </w:textInput>
          </w:ffData>
        </w:fldChar>
      </w:r>
      <w:bookmarkStart w:id="5" w:name="Text7"/>
      <w:r>
        <w:instrText xml:space="preserve"> FORMTEXT </w:instrText>
      </w:r>
      <w:r>
        <w:fldChar w:fldCharType="separate"/>
      </w:r>
      <w:r>
        <w:rPr>
          <w:noProof/>
        </w:rPr>
        <w:t>2020</w:t>
      </w:r>
      <w:r>
        <w:fldChar w:fldCharType="end"/>
      </w:r>
      <w:bookmarkEnd w:id="5"/>
      <w:r>
        <w:t xml:space="preserve">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F52055" w:rsidRDefault="00F52055" w:rsidP="00D439F7">
      <w:pPr>
        <w:pStyle w:val="spParagraph"/>
      </w:pPr>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rsidR="002F58E9" w:rsidRDefault="002F58E9" w:rsidP="00D439F7">
      <w:pPr>
        <w:pStyle w:val="spParagraph"/>
      </w:pPr>
      <w:r>
        <w:t>Don’t begin work on STH 49 until July 13, 2020.</w:t>
      </w:r>
    </w:p>
    <w:p w:rsidR="002F58E9" w:rsidRDefault="002F58E9" w:rsidP="00D439F7">
      <w:pPr>
        <w:pStyle w:val="spParagraph"/>
      </w:pPr>
      <w:r w:rsidRPr="002F58E9">
        <w:t xml:space="preserve">Accomplish the construction of this project in three stages. Perform work as follows:  </w:t>
      </w:r>
    </w:p>
    <w:p w:rsidR="002F58E9" w:rsidRDefault="002F58E9" w:rsidP="00D439F7">
      <w:pPr>
        <w:pStyle w:val="spParagraph"/>
      </w:pPr>
      <w:r w:rsidRPr="002F58E9">
        <w:t xml:space="preserve">Stage 1: Construct new sidewalk to be utilized for pedestrian detour at the intersection of STH 161/Mill Street and Town Line Road. </w:t>
      </w:r>
      <w:r w:rsidR="005E6F2C">
        <w:t>Also c</w:t>
      </w:r>
      <w:r>
        <w:t xml:space="preserve">onstruct other </w:t>
      </w:r>
      <w:r w:rsidR="005E6F2C">
        <w:t xml:space="preserve">pedestrian and vehicle </w:t>
      </w:r>
      <w:r>
        <w:t xml:space="preserve">detour route improvements. </w:t>
      </w:r>
    </w:p>
    <w:p w:rsidR="002F58E9" w:rsidRDefault="002F58E9" w:rsidP="00D439F7">
      <w:pPr>
        <w:pStyle w:val="spParagraph"/>
      </w:pPr>
      <w:r w:rsidRPr="002F58E9">
        <w:t>Stage 2: Complete removal of existing structure B-68-</w:t>
      </w:r>
      <w:r w:rsidR="00273538">
        <w:t>00</w:t>
      </w:r>
      <w:r w:rsidRPr="002F58E9">
        <w:t xml:space="preserve">29 and construction of structure B-68-0133 including all approach work to safely open to traffic. </w:t>
      </w:r>
    </w:p>
    <w:p w:rsidR="005E6F2C" w:rsidRDefault="002F58E9" w:rsidP="00D439F7">
      <w:pPr>
        <w:pStyle w:val="spParagraph"/>
      </w:pPr>
      <w:r w:rsidRPr="002F58E9">
        <w:t xml:space="preserve">Stage 3: Complete structure staining, all remaining finishing work and remove temporary detour widening. </w:t>
      </w:r>
    </w:p>
    <w:p w:rsidR="002F58E9" w:rsidRPr="00B94868" w:rsidRDefault="002F58E9" w:rsidP="00D439F7">
      <w:pPr>
        <w:pStyle w:val="spParagraph"/>
      </w:pPr>
      <w:r w:rsidRPr="002F58E9">
        <w:t>Construction within each stage is intended to include all traffic control, erosion control, removals, structure and approach work, and pavement marking as shown on the plans.</w:t>
      </w:r>
    </w:p>
    <w:p w:rsidR="00F52055" w:rsidRPr="0037222D" w:rsidRDefault="00F52055" w:rsidP="00D439F7">
      <w:pPr>
        <w:pStyle w:val="spParagraph"/>
        <w:rPr>
          <w:rStyle w:val="spHeading"/>
        </w:rPr>
      </w:pPr>
      <w:r w:rsidRPr="0037222D">
        <w:rPr>
          <w:rStyle w:val="spHeading"/>
        </w:rPr>
        <w:t>Fish Spawning</w:t>
      </w:r>
    </w:p>
    <w:p w:rsidR="00F52055" w:rsidRPr="0037222D" w:rsidRDefault="00F52055" w:rsidP="00D439F7">
      <w:pPr>
        <w:pStyle w:val="spParagraph"/>
      </w:pPr>
      <w:r w:rsidRPr="0037222D">
        <w:t xml:space="preserve">There shall be no instream disturbance of </w:t>
      </w:r>
      <w:r>
        <w:fldChar w:fldCharType="begin">
          <w:ffData>
            <w:name w:val="Text2"/>
            <w:enabled/>
            <w:calcOnExit w:val="0"/>
            <w:textInput>
              <w:default w:val="South Branch Little Wolf River"/>
            </w:textInput>
          </w:ffData>
        </w:fldChar>
      </w:r>
      <w:bookmarkStart w:id="6" w:name="Text2"/>
      <w:r>
        <w:instrText xml:space="preserve"> FORMTEXT </w:instrText>
      </w:r>
      <w:r>
        <w:fldChar w:fldCharType="separate"/>
      </w:r>
      <w:r>
        <w:rPr>
          <w:noProof/>
        </w:rPr>
        <w:t>South Branch Little Wolf River</w:t>
      </w:r>
      <w:r>
        <w:fldChar w:fldCharType="end"/>
      </w:r>
      <w:bookmarkEnd w:id="6"/>
      <w:r w:rsidRPr="0037222D">
        <w:t xml:space="preserve"> as a result of construction activity under or for this contract, </w:t>
      </w:r>
      <w:sdt>
        <w:sdtPr>
          <w:id w:val="64095942"/>
          <w:placeholder>
            <w:docPart w:val="CF6F8207921C40AF819CFCCFA8551B75"/>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Content>
          <w:r>
            <w:t>from March 1 to June 15 both dates inclusive</w:t>
          </w:r>
        </w:sdtContent>
      </w:sdt>
      <w:r w:rsidRPr="0037222D">
        <w:t xml:space="preserve">, in order to avoid adverse impacts upon the spawning of </w:t>
      </w:r>
      <w:bookmarkStart w:id="7" w:name="Text5"/>
      <w:r w:rsidRPr="0037222D">
        <w:fldChar w:fldCharType="begin">
          <w:ffData>
            <w:name w:val="Text5"/>
            <w:enabled/>
            <w:calcOnExit w:val="0"/>
            <w:textInput>
              <w:default w:val="fish species"/>
            </w:textInput>
          </w:ffData>
        </w:fldChar>
      </w:r>
      <w:r w:rsidRPr="0037222D">
        <w:instrText xml:space="preserve"> FORMTEXT </w:instrText>
      </w:r>
      <w:r w:rsidRPr="0037222D">
        <w:fldChar w:fldCharType="separate"/>
      </w:r>
      <w:r>
        <w:rPr>
          <w:noProof/>
        </w:rPr>
        <w:t>fish species</w:t>
      </w:r>
      <w:r w:rsidRPr="0037222D">
        <w:fldChar w:fldCharType="end"/>
      </w:r>
      <w:bookmarkEnd w:id="7"/>
      <w:r w:rsidRPr="0037222D">
        <w:t>.</w:t>
      </w:r>
    </w:p>
    <w:p w:rsidR="00F52055" w:rsidRDefault="00F52055" w:rsidP="00D439F7">
      <w:pPr>
        <w:pStyle w:val="spParagraph"/>
      </w:pPr>
      <w:r w:rsidRPr="0037222D">
        <w:t>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WisDOT and DNR.</w:t>
      </w:r>
    </w:p>
    <w:p w:rsidR="00DA1EF3" w:rsidRPr="00ED414B" w:rsidRDefault="00DA1EF3" w:rsidP="00D439F7">
      <w:pPr>
        <w:pStyle w:val="spParagraph"/>
        <w:rPr>
          <w:rStyle w:val="spHeading"/>
        </w:rPr>
      </w:pPr>
      <w:r w:rsidRPr="00ED414B">
        <w:rPr>
          <w:rStyle w:val="spHeading"/>
        </w:rPr>
        <w:t xml:space="preserve">Northern Long-eared Bat </w:t>
      </w:r>
      <w:r w:rsidRPr="00ED414B">
        <w:rPr>
          <w:rStyle w:val="spHeading"/>
          <w:i/>
        </w:rPr>
        <w:t xml:space="preserve">(Myotis </w:t>
      </w:r>
      <w:proofErr w:type="spellStart"/>
      <w:r w:rsidRPr="00ED414B">
        <w:rPr>
          <w:rStyle w:val="spHeading"/>
          <w:i/>
        </w:rPr>
        <w:t>septentrionalis</w:t>
      </w:r>
      <w:proofErr w:type="spellEnd"/>
      <w:r w:rsidRPr="00ED414B">
        <w:rPr>
          <w:rStyle w:val="spHeading"/>
          <w:i/>
        </w:rPr>
        <w:t>)</w:t>
      </w:r>
    </w:p>
    <w:p w:rsidR="00DA1EF3" w:rsidRPr="008E3970" w:rsidRDefault="00DA1EF3" w:rsidP="00D439F7">
      <w:pPr>
        <w:pStyle w:val="spParagraph"/>
      </w:pPr>
      <w:r w:rsidRPr="008E3970">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w:t>
      </w:r>
      <w:r>
        <w:lastRenderedPageBreak/>
        <w:t xml:space="preserve">bat or active roost is encountered during construction operations, stop work and notify the engineer and the WisDOT </w:t>
      </w:r>
      <w:r w:rsidRPr="008E3970">
        <w:t>Regional Environmental Coordinator (REC).</w:t>
      </w:r>
    </w:p>
    <w:p w:rsidR="008F2151" w:rsidRDefault="00DA1EF3" w:rsidP="00D439F7">
      <w:pPr>
        <w:pStyle w:val="spParagraph"/>
      </w:pPr>
      <w:r w:rsidRPr="008E3970">
        <w:t xml:space="preserve">If additional construction activities beyond what was originally specified are required to complete the work, approval from the </w:t>
      </w:r>
      <w:r>
        <w:t xml:space="preserve">engineer, following coordination with </w:t>
      </w:r>
      <w:r w:rsidRPr="008E3970">
        <w:t xml:space="preserve">WisDOT </w:t>
      </w:r>
      <w:r>
        <w:t>REC,</w:t>
      </w:r>
      <w:r w:rsidRPr="008E3970">
        <w:t xml:space="preserve"> is required prior to initiating these activities.</w:t>
      </w:r>
    </w:p>
    <w:p w:rsidR="008A15E5" w:rsidRDefault="008A15E5" w:rsidP="00D439F7">
      <w:pPr>
        <w:pStyle w:val="spParagraph"/>
        <w:rPr>
          <w:rStyle w:val="spHeading"/>
        </w:rPr>
      </w:pPr>
      <w:r>
        <w:rPr>
          <w:rStyle w:val="spHeading"/>
        </w:rPr>
        <w:t>Wood and Blanding’s Turtles</w:t>
      </w:r>
    </w:p>
    <w:p w:rsidR="008A15E5" w:rsidRPr="00D439F7" w:rsidRDefault="008A15E5" w:rsidP="00D439F7">
      <w:pPr>
        <w:pStyle w:val="spParagraph"/>
        <w:rPr>
          <w:b/>
        </w:rPr>
      </w:pPr>
      <w:r>
        <w:t xml:space="preserve">Prior to construction, protect the project limits with exclusionary fencing and survey for turtles. Any turtles found within the project limits must be safely relocated beyond the construction zone in the direction of </w:t>
      </w:r>
      <w:r w:rsidRPr="00D439F7">
        <w:t xml:space="preserve">travel and documented. </w:t>
      </w:r>
    </w:p>
    <w:p w:rsidR="00F52055" w:rsidRPr="00CB3813" w:rsidRDefault="00F52055" w:rsidP="00D439F7">
      <w:pPr>
        <w:pStyle w:val="spVersion"/>
        <w:rPr>
          <w:szCs w:val="18"/>
        </w:rPr>
      </w:pPr>
      <w:r w:rsidRPr="00CB3813">
        <w:rPr>
          <w:szCs w:val="18"/>
        </w:rPr>
        <w:t>0036 (20090901)</w:t>
      </w:r>
      <w:bookmarkStart w:id="8" w:name="_Toc12885343"/>
      <w:bookmarkStart w:id="9" w:name="_Toc12885381"/>
      <w:bookmarkStart w:id="10" w:name="_Toc17817033"/>
      <w:bookmarkStart w:id="11" w:name="_Toc18054058"/>
      <w:bookmarkEnd w:id="8"/>
      <w:bookmarkEnd w:id="9"/>
      <w:bookmarkEnd w:id="10"/>
      <w:bookmarkEnd w:id="11"/>
    </w:p>
    <w:p w:rsidR="00400E9D" w:rsidRDefault="001D16BE" w:rsidP="00D439F7">
      <w:pPr>
        <w:pStyle w:val="1Heading1"/>
        <w:numPr>
          <w:ilvl w:val="0"/>
          <w:numId w:val="1"/>
        </w:numPr>
        <w:ind w:left="0" w:hanging="720"/>
        <w:rPr>
          <w:rFonts w:cs="Arial"/>
        </w:rPr>
      </w:pPr>
      <w:bookmarkStart w:id="12" w:name="_Toc23400010"/>
      <w:r>
        <w:rPr>
          <w:rFonts w:cs="Arial"/>
        </w:rPr>
        <w:t>Traffic</w:t>
      </w:r>
      <w:r w:rsidR="00BC4FC3">
        <w:rPr>
          <w:rFonts w:cs="Arial"/>
        </w:rPr>
        <w:t>.</w:t>
      </w:r>
      <w:bookmarkEnd w:id="12"/>
    </w:p>
    <w:p w:rsidR="00400E9D" w:rsidRPr="00400E9D" w:rsidRDefault="00400E9D" w:rsidP="00D439F7">
      <w:pPr>
        <w:pStyle w:val="spParagraph"/>
      </w:pPr>
      <w:r w:rsidRPr="00400E9D">
        <w:t xml:space="preserve">Maintain </w:t>
      </w:r>
      <w:r>
        <w:t>local access on STH 49 adjacent to the construction area at all times from south and north or as directed by the engineer. Implement the following staged traffic control:</w:t>
      </w:r>
    </w:p>
    <w:p w:rsidR="005E6F2C" w:rsidRDefault="005E6F2C" w:rsidP="00D439F7">
      <w:pPr>
        <w:pStyle w:val="spParagraph"/>
      </w:pPr>
      <w:r>
        <w:t xml:space="preserve">Stage 1:  Shoulder closures and single lane closures utilizing flaggers are allowed while performing work in this stage. </w:t>
      </w:r>
    </w:p>
    <w:p w:rsidR="00400E9D" w:rsidRPr="00B351FE" w:rsidRDefault="005E6F2C" w:rsidP="00D439F7">
      <w:pPr>
        <w:pStyle w:val="spParagraph"/>
      </w:pPr>
      <w:r>
        <w:t xml:space="preserve">Stage 2: </w:t>
      </w:r>
      <w:r w:rsidR="00400E9D">
        <w:t xml:space="preserve">Close STH 49 between Depot Street and Mill Street. </w:t>
      </w:r>
      <w:r>
        <w:t xml:space="preserve">Implement vehicular and pedestrian detour and close STH 49 </w:t>
      </w:r>
      <w:r w:rsidRPr="00B351FE">
        <w:t xml:space="preserve">and Iola Riverwalk trail.  </w:t>
      </w:r>
      <w:r w:rsidR="00FF048F" w:rsidRPr="00B351FE">
        <w:t>Maintain two 12-foot travel lanes on detour route using the details in the plan or as directed by the engineer.</w:t>
      </w:r>
    </w:p>
    <w:p w:rsidR="005E6F2C" w:rsidRDefault="005E6F2C" w:rsidP="00D439F7">
      <w:pPr>
        <w:pStyle w:val="spParagraph"/>
      </w:pPr>
      <w:r w:rsidRPr="00B351FE">
        <w:t xml:space="preserve">Stage 3: </w:t>
      </w:r>
      <w:r w:rsidR="00B351FE" w:rsidRPr="00B351FE">
        <w:t xml:space="preserve">Continue to utilize the vehicular and pedestrian detour or open </w:t>
      </w:r>
      <w:r w:rsidRPr="00B351FE">
        <w:t xml:space="preserve">STH 49 </w:t>
      </w:r>
      <w:r w:rsidR="00400E9D" w:rsidRPr="00B351FE">
        <w:t xml:space="preserve">and the Iola Riverwalk trail </w:t>
      </w:r>
      <w:r w:rsidR="00B351FE" w:rsidRPr="00B351FE">
        <w:t>and</w:t>
      </w:r>
      <w:r w:rsidRPr="00B351FE">
        <w:t xml:space="preserve"> complete</w:t>
      </w:r>
      <w:r w:rsidR="00B351FE" w:rsidRPr="00B351FE">
        <w:t xml:space="preserve"> work</w:t>
      </w:r>
      <w:r w:rsidRPr="00B351FE">
        <w:t xml:space="preserve"> with shoulder closures and single lane closures utilizing flaggers.</w:t>
      </w:r>
    </w:p>
    <w:p w:rsidR="00754ECC" w:rsidRDefault="00754ECC" w:rsidP="00D439F7">
      <w:pPr>
        <w:pStyle w:val="spParagraph"/>
      </w:pPr>
      <w:r w:rsidRPr="002F514C">
        <w:t xml:space="preserve">Do not </w:t>
      </w:r>
      <w:r w:rsidR="006D51BA">
        <w:t xml:space="preserve">restrict traffic on </w:t>
      </w:r>
      <w:r w:rsidRPr="002F514C">
        <w:t xml:space="preserve">STH 49 prior to </w:t>
      </w:r>
      <w:r w:rsidR="00DF4D61">
        <w:t>6</w:t>
      </w:r>
      <w:r w:rsidRPr="002F514C">
        <w:t>:00 AM July 13, 2020.</w:t>
      </w:r>
    </w:p>
    <w:p w:rsidR="00F52055" w:rsidRPr="00427E8D" w:rsidRDefault="00F52055" w:rsidP="00D439F7">
      <w:pPr>
        <w:pStyle w:val="1Heading1"/>
        <w:numPr>
          <w:ilvl w:val="0"/>
          <w:numId w:val="1"/>
        </w:numPr>
        <w:ind w:left="0" w:hanging="720"/>
        <w:rPr>
          <w:rFonts w:cs="Arial"/>
        </w:rPr>
      </w:pPr>
      <w:bookmarkStart w:id="13" w:name="_Toc23400011"/>
      <w:r w:rsidRPr="00427E8D">
        <w:rPr>
          <w:rFonts w:cs="Arial"/>
        </w:rPr>
        <w:t xml:space="preserve">Holiday </w:t>
      </w:r>
      <w:r w:rsidR="006D51BA">
        <w:rPr>
          <w:rFonts w:cs="Arial"/>
        </w:rPr>
        <w:t xml:space="preserve">and Other Event </w:t>
      </w:r>
      <w:r w:rsidRPr="00427E8D">
        <w:rPr>
          <w:rFonts w:cs="Arial"/>
        </w:rPr>
        <w:t>Work Restrictions.</w:t>
      </w:r>
      <w:bookmarkEnd w:id="13"/>
    </w:p>
    <w:p w:rsidR="00F52055" w:rsidRPr="00F52055" w:rsidRDefault="00F52055" w:rsidP="00D439F7">
      <w:pPr>
        <w:pStyle w:val="spParagraph"/>
      </w:pPr>
      <w:r w:rsidRPr="009F58B7">
        <w:t xml:space="preserve">Do not perform work on, nor haul materials of any kind along or across any portion of the highway carrying STH 49 </w:t>
      </w:r>
      <w:r w:rsidR="00215AC1">
        <w:t xml:space="preserve">or STH 161 </w:t>
      </w:r>
      <w:r w:rsidRPr="009F58B7">
        <w:t xml:space="preserve">traffic, and entirely clear the traveled way and shoulders of such portions of the highway of equipment, barricades, signs, lights, and any other material that might impede the free flow of traffic during the following holiday </w:t>
      </w:r>
      <w:r w:rsidR="002D44A1">
        <w:t xml:space="preserve">or event </w:t>
      </w:r>
      <w:r w:rsidRPr="009F58B7">
        <w:t>periods:</w:t>
      </w:r>
    </w:p>
    <w:p w:rsidR="008A15E5" w:rsidRDefault="00F52055" w:rsidP="00D439F7">
      <w:pPr>
        <w:pStyle w:val="spBullet1"/>
        <w:rPr>
          <w:rFonts w:eastAsiaTheme="minorHAnsi" w:cstheme="minorBidi"/>
          <w:sz w:val="20"/>
          <w:szCs w:val="28"/>
        </w:rPr>
      </w:pPr>
      <w:r w:rsidRPr="00F52055">
        <w:rPr>
          <w:rFonts w:eastAsiaTheme="minorHAnsi" w:cstheme="minorBidi"/>
          <w:sz w:val="20"/>
          <w:szCs w:val="28"/>
        </w:rPr>
        <w:t>-</w:t>
      </w:r>
      <w:r w:rsidRPr="00F52055">
        <w:rPr>
          <w:rFonts w:eastAsiaTheme="minorHAnsi" w:cstheme="minorBidi"/>
          <w:sz w:val="20"/>
          <w:szCs w:val="28"/>
        </w:rPr>
        <w:tab/>
      </w:r>
      <w:r w:rsidR="008A15E5" w:rsidRPr="00F52055">
        <w:rPr>
          <w:rFonts w:eastAsiaTheme="minorHAnsi" w:cstheme="minorBidi"/>
          <w:sz w:val="20"/>
          <w:szCs w:val="28"/>
        </w:rPr>
        <w:t xml:space="preserve">From noon </w:t>
      </w:r>
      <w:r w:rsidR="008A15E5">
        <w:rPr>
          <w:rFonts w:eastAsiaTheme="minorHAnsi" w:cstheme="minorBidi"/>
          <w:sz w:val="20"/>
          <w:szCs w:val="28"/>
        </w:rPr>
        <w:t>Fri</w:t>
      </w:r>
      <w:r w:rsidR="008A15E5" w:rsidRPr="00F52055">
        <w:rPr>
          <w:rFonts w:eastAsiaTheme="minorHAnsi" w:cstheme="minorBidi"/>
          <w:sz w:val="20"/>
          <w:szCs w:val="28"/>
        </w:rPr>
        <w:t xml:space="preserve">day, </w:t>
      </w:r>
      <w:r w:rsidR="008A15E5">
        <w:rPr>
          <w:rFonts w:eastAsiaTheme="minorHAnsi" w:cstheme="minorBidi"/>
          <w:sz w:val="20"/>
          <w:szCs w:val="28"/>
        </w:rPr>
        <w:t>May 22</w:t>
      </w:r>
      <w:r w:rsidR="008A15E5" w:rsidRPr="00F52055">
        <w:rPr>
          <w:rFonts w:eastAsiaTheme="minorHAnsi" w:cstheme="minorBidi"/>
          <w:sz w:val="20"/>
          <w:szCs w:val="28"/>
        </w:rPr>
        <w:t xml:space="preserve">, 2020 to 6:00 AM </w:t>
      </w:r>
      <w:r w:rsidR="008A15E5">
        <w:rPr>
          <w:rFonts w:eastAsiaTheme="minorHAnsi" w:cstheme="minorBidi"/>
          <w:sz w:val="20"/>
          <w:szCs w:val="28"/>
        </w:rPr>
        <w:t>Tuesd</w:t>
      </w:r>
      <w:r w:rsidR="008A15E5" w:rsidRPr="00F52055">
        <w:rPr>
          <w:rFonts w:eastAsiaTheme="minorHAnsi" w:cstheme="minorBidi"/>
          <w:sz w:val="20"/>
          <w:szCs w:val="28"/>
        </w:rPr>
        <w:t xml:space="preserve">ay, </w:t>
      </w:r>
      <w:r w:rsidR="008A15E5">
        <w:rPr>
          <w:rFonts w:eastAsiaTheme="minorHAnsi" w:cstheme="minorBidi"/>
          <w:sz w:val="20"/>
          <w:szCs w:val="28"/>
        </w:rPr>
        <w:t>May 26</w:t>
      </w:r>
      <w:r w:rsidR="008A15E5" w:rsidRPr="00F52055">
        <w:rPr>
          <w:rFonts w:eastAsiaTheme="minorHAnsi" w:cstheme="minorBidi"/>
          <w:sz w:val="20"/>
          <w:szCs w:val="28"/>
        </w:rPr>
        <w:t>, 2020</w:t>
      </w:r>
      <w:r w:rsidR="008A15E5">
        <w:rPr>
          <w:rFonts w:eastAsiaTheme="minorHAnsi" w:cstheme="minorBidi"/>
          <w:sz w:val="20"/>
          <w:szCs w:val="28"/>
        </w:rPr>
        <w:t>;</w:t>
      </w:r>
      <w:r w:rsidR="008A15E5" w:rsidRPr="00F52055">
        <w:rPr>
          <w:rFonts w:eastAsiaTheme="minorHAnsi" w:cstheme="minorBidi"/>
          <w:sz w:val="20"/>
          <w:szCs w:val="28"/>
        </w:rPr>
        <w:t xml:space="preserve"> </w:t>
      </w:r>
      <w:r w:rsidR="008A15E5">
        <w:rPr>
          <w:rFonts w:eastAsiaTheme="minorHAnsi" w:cstheme="minorBidi"/>
          <w:sz w:val="20"/>
          <w:szCs w:val="28"/>
        </w:rPr>
        <w:t>Memorial Day</w:t>
      </w:r>
      <w:r w:rsidR="008A15E5" w:rsidRPr="00F52055">
        <w:rPr>
          <w:rFonts w:eastAsiaTheme="minorHAnsi" w:cstheme="minorBidi"/>
          <w:sz w:val="20"/>
          <w:szCs w:val="28"/>
        </w:rPr>
        <w:t>;</w:t>
      </w:r>
    </w:p>
    <w:p w:rsidR="00F52055" w:rsidRDefault="008A15E5" w:rsidP="00D439F7">
      <w:pPr>
        <w:pStyle w:val="spBullet1"/>
        <w:rPr>
          <w:rFonts w:eastAsiaTheme="minorHAnsi" w:cstheme="minorBidi"/>
          <w:sz w:val="20"/>
          <w:szCs w:val="28"/>
        </w:rPr>
      </w:pPr>
      <w:r>
        <w:rPr>
          <w:rFonts w:eastAsiaTheme="minorHAnsi" w:cstheme="minorBidi"/>
          <w:sz w:val="20"/>
          <w:szCs w:val="28"/>
        </w:rPr>
        <w:t xml:space="preserve">- </w:t>
      </w:r>
      <w:r>
        <w:rPr>
          <w:rFonts w:eastAsiaTheme="minorHAnsi" w:cstheme="minorBidi"/>
          <w:sz w:val="20"/>
          <w:szCs w:val="28"/>
        </w:rPr>
        <w:tab/>
      </w:r>
      <w:r w:rsidR="00F52055" w:rsidRPr="00F52055">
        <w:rPr>
          <w:rFonts w:eastAsiaTheme="minorHAnsi" w:cstheme="minorBidi"/>
          <w:sz w:val="20"/>
          <w:szCs w:val="28"/>
        </w:rPr>
        <w:t xml:space="preserve">From noon </w:t>
      </w:r>
      <w:r w:rsidR="009F58B7">
        <w:rPr>
          <w:rFonts w:eastAsiaTheme="minorHAnsi" w:cstheme="minorBidi"/>
          <w:sz w:val="20"/>
          <w:szCs w:val="28"/>
        </w:rPr>
        <w:t>Thurs</w:t>
      </w:r>
      <w:r w:rsidR="00F52055" w:rsidRPr="00F52055">
        <w:rPr>
          <w:rFonts w:eastAsiaTheme="minorHAnsi" w:cstheme="minorBidi"/>
          <w:sz w:val="20"/>
          <w:szCs w:val="28"/>
        </w:rPr>
        <w:t xml:space="preserve">day, </w:t>
      </w:r>
      <w:r w:rsidR="009F58B7">
        <w:rPr>
          <w:rFonts w:eastAsiaTheme="minorHAnsi" w:cstheme="minorBidi"/>
          <w:sz w:val="20"/>
          <w:szCs w:val="28"/>
        </w:rPr>
        <w:t>July</w:t>
      </w:r>
      <w:r w:rsidR="009F58B7" w:rsidRPr="00F52055">
        <w:rPr>
          <w:rFonts w:eastAsiaTheme="minorHAnsi" w:cstheme="minorBidi"/>
          <w:sz w:val="20"/>
          <w:szCs w:val="28"/>
        </w:rPr>
        <w:t xml:space="preserve"> </w:t>
      </w:r>
      <w:r w:rsidR="009F58B7">
        <w:rPr>
          <w:rFonts w:eastAsiaTheme="minorHAnsi" w:cstheme="minorBidi"/>
          <w:sz w:val="20"/>
          <w:szCs w:val="28"/>
        </w:rPr>
        <w:t>2</w:t>
      </w:r>
      <w:r w:rsidR="00F52055" w:rsidRPr="00F52055">
        <w:rPr>
          <w:rFonts w:eastAsiaTheme="minorHAnsi" w:cstheme="minorBidi"/>
          <w:sz w:val="20"/>
          <w:szCs w:val="28"/>
        </w:rPr>
        <w:t xml:space="preserve">, 2020 to 6:00 AM </w:t>
      </w:r>
      <w:r w:rsidR="009F58B7">
        <w:rPr>
          <w:rFonts w:eastAsiaTheme="minorHAnsi" w:cstheme="minorBidi"/>
          <w:sz w:val="20"/>
          <w:szCs w:val="28"/>
        </w:rPr>
        <w:t>Mond</w:t>
      </w:r>
      <w:r w:rsidR="00F52055" w:rsidRPr="00F52055">
        <w:rPr>
          <w:rFonts w:eastAsiaTheme="minorHAnsi" w:cstheme="minorBidi"/>
          <w:sz w:val="20"/>
          <w:szCs w:val="28"/>
        </w:rPr>
        <w:t xml:space="preserve">ay, </w:t>
      </w:r>
      <w:r w:rsidR="009F58B7">
        <w:rPr>
          <w:rFonts w:eastAsiaTheme="minorHAnsi" w:cstheme="minorBidi"/>
          <w:sz w:val="20"/>
          <w:szCs w:val="28"/>
        </w:rPr>
        <w:t>July 6</w:t>
      </w:r>
      <w:r w:rsidR="00F52055" w:rsidRPr="00F52055">
        <w:rPr>
          <w:rFonts w:eastAsiaTheme="minorHAnsi" w:cstheme="minorBidi"/>
          <w:sz w:val="20"/>
          <w:szCs w:val="28"/>
        </w:rPr>
        <w:t>, 2020</w:t>
      </w:r>
      <w:r w:rsidR="00FD4DEC">
        <w:rPr>
          <w:rFonts w:eastAsiaTheme="minorHAnsi" w:cstheme="minorBidi"/>
          <w:sz w:val="20"/>
          <w:szCs w:val="28"/>
        </w:rPr>
        <w:t>;</w:t>
      </w:r>
      <w:r w:rsidR="00F52055" w:rsidRPr="00F52055">
        <w:rPr>
          <w:rFonts w:eastAsiaTheme="minorHAnsi" w:cstheme="minorBidi"/>
          <w:sz w:val="20"/>
          <w:szCs w:val="28"/>
        </w:rPr>
        <w:t xml:space="preserve"> </w:t>
      </w:r>
      <w:r w:rsidR="00FD4DEC">
        <w:rPr>
          <w:rFonts w:eastAsiaTheme="minorHAnsi" w:cstheme="minorBidi"/>
          <w:sz w:val="20"/>
          <w:szCs w:val="28"/>
        </w:rPr>
        <w:t>4</w:t>
      </w:r>
      <w:r w:rsidR="00FD4DEC" w:rsidRPr="002F514C">
        <w:rPr>
          <w:rFonts w:eastAsiaTheme="minorHAnsi" w:cstheme="minorBidi"/>
          <w:sz w:val="20"/>
          <w:szCs w:val="28"/>
          <w:vertAlign w:val="superscript"/>
        </w:rPr>
        <w:t>th</w:t>
      </w:r>
      <w:r w:rsidR="00FD4DEC">
        <w:rPr>
          <w:rFonts w:eastAsiaTheme="minorHAnsi" w:cstheme="minorBidi"/>
          <w:sz w:val="20"/>
          <w:szCs w:val="28"/>
        </w:rPr>
        <w:t xml:space="preserve"> of July</w:t>
      </w:r>
      <w:r w:rsidR="00F52055" w:rsidRPr="00F52055">
        <w:rPr>
          <w:rFonts w:eastAsiaTheme="minorHAnsi" w:cstheme="minorBidi"/>
          <w:sz w:val="20"/>
          <w:szCs w:val="28"/>
        </w:rPr>
        <w:t>;</w:t>
      </w:r>
    </w:p>
    <w:p w:rsidR="009F58B7" w:rsidRDefault="009F58B7" w:rsidP="00D439F7">
      <w:pPr>
        <w:pStyle w:val="spBullet1"/>
        <w:rPr>
          <w:rFonts w:eastAsiaTheme="minorHAnsi" w:cstheme="minorBidi"/>
          <w:sz w:val="20"/>
          <w:szCs w:val="28"/>
        </w:rPr>
      </w:pPr>
      <w:r w:rsidRPr="00F52055">
        <w:rPr>
          <w:rFonts w:eastAsiaTheme="minorHAnsi" w:cstheme="minorBidi"/>
          <w:sz w:val="20"/>
          <w:szCs w:val="28"/>
        </w:rPr>
        <w:t>-</w:t>
      </w:r>
      <w:r w:rsidRPr="00F52055">
        <w:rPr>
          <w:rFonts w:eastAsiaTheme="minorHAnsi" w:cstheme="minorBidi"/>
          <w:sz w:val="20"/>
          <w:szCs w:val="28"/>
        </w:rPr>
        <w:tab/>
        <w:t xml:space="preserve">From noon </w:t>
      </w:r>
      <w:r>
        <w:rPr>
          <w:rFonts w:eastAsiaTheme="minorHAnsi" w:cstheme="minorBidi"/>
          <w:sz w:val="20"/>
          <w:szCs w:val="28"/>
        </w:rPr>
        <w:t>Wednes</w:t>
      </w:r>
      <w:r w:rsidRPr="00F52055">
        <w:rPr>
          <w:rFonts w:eastAsiaTheme="minorHAnsi" w:cstheme="minorBidi"/>
          <w:sz w:val="20"/>
          <w:szCs w:val="28"/>
        </w:rPr>
        <w:t xml:space="preserve">day, </w:t>
      </w:r>
      <w:r>
        <w:rPr>
          <w:rFonts w:eastAsiaTheme="minorHAnsi" w:cstheme="minorBidi"/>
          <w:sz w:val="20"/>
          <w:szCs w:val="28"/>
        </w:rPr>
        <w:t>July</w:t>
      </w:r>
      <w:r w:rsidRPr="00F52055">
        <w:rPr>
          <w:rFonts w:eastAsiaTheme="minorHAnsi" w:cstheme="minorBidi"/>
          <w:sz w:val="20"/>
          <w:szCs w:val="28"/>
        </w:rPr>
        <w:t xml:space="preserve"> </w:t>
      </w:r>
      <w:r>
        <w:rPr>
          <w:rFonts w:eastAsiaTheme="minorHAnsi" w:cstheme="minorBidi"/>
          <w:sz w:val="20"/>
          <w:szCs w:val="28"/>
        </w:rPr>
        <w:t>8</w:t>
      </w:r>
      <w:r w:rsidRPr="00F52055">
        <w:rPr>
          <w:rFonts w:eastAsiaTheme="minorHAnsi" w:cstheme="minorBidi"/>
          <w:sz w:val="20"/>
          <w:szCs w:val="28"/>
        </w:rPr>
        <w:t xml:space="preserve">, 2020 to 6:00 AM </w:t>
      </w:r>
      <w:r>
        <w:rPr>
          <w:rFonts w:eastAsiaTheme="minorHAnsi" w:cstheme="minorBidi"/>
          <w:sz w:val="20"/>
          <w:szCs w:val="28"/>
        </w:rPr>
        <w:t>Mond</w:t>
      </w:r>
      <w:r w:rsidRPr="00F52055">
        <w:rPr>
          <w:rFonts w:eastAsiaTheme="minorHAnsi" w:cstheme="minorBidi"/>
          <w:sz w:val="20"/>
          <w:szCs w:val="28"/>
        </w:rPr>
        <w:t xml:space="preserve">ay, </w:t>
      </w:r>
      <w:r>
        <w:rPr>
          <w:rFonts w:eastAsiaTheme="minorHAnsi" w:cstheme="minorBidi"/>
          <w:sz w:val="20"/>
          <w:szCs w:val="28"/>
        </w:rPr>
        <w:t>July 13</w:t>
      </w:r>
      <w:r w:rsidRPr="00F52055">
        <w:rPr>
          <w:rFonts w:eastAsiaTheme="minorHAnsi" w:cstheme="minorBidi"/>
          <w:sz w:val="20"/>
          <w:szCs w:val="28"/>
        </w:rPr>
        <w:t>, 2020</w:t>
      </w:r>
      <w:r w:rsidR="00FD4DEC">
        <w:rPr>
          <w:rFonts w:eastAsiaTheme="minorHAnsi" w:cstheme="minorBidi"/>
          <w:sz w:val="20"/>
          <w:szCs w:val="28"/>
        </w:rPr>
        <w:t>;</w:t>
      </w:r>
      <w:r w:rsidRPr="00F52055">
        <w:rPr>
          <w:rFonts w:eastAsiaTheme="minorHAnsi" w:cstheme="minorBidi"/>
          <w:sz w:val="20"/>
          <w:szCs w:val="28"/>
        </w:rPr>
        <w:t xml:space="preserve"> </w:t>
      </w:r>
      <w:r>
        <w:rPr>
          <w:rFonts w:eastAsiaTheme="minorHAnsi" w:cstheme="minorBidi"/>
          <w:sz w:val="20"/>
          <w:szCs w:val="28"/>
        </w:rPr>
        <w:t>Iola Car Show</w:t>
      </w:r>
      <w:r w:rsidRPr="00F52055">
        <w:rPr>
          <w:rFonts w:eastAsiaTheme="minorHAnsi" w:cstheme="minorBidi"/>
          <w:sz w:val="20"/>
          <w:szCs w:val="28"/>
        </w:rPr>
        <w:t>;</w:t>
      </w:r>
    </w:p>
    <w:p w:rsidR="009F58B7" w:rsidRPr="00CC60EC" w:rsidRDefault="009F58B7" w:rsidP="00D439F7">
      <w:pPr>
        <w:pStyle w:val="spBullet1"/>
      </w:pPr>
    </w:p>
    <w:p w:rsidR="009F58B7" w:rsidRPr="00F52055" w:rsidRDefault="009F58B7" w:rsidP="00D439F7">
      <w:pPr>
        <w:pStyle w:val="spParagraph"/>
      </w:pPr>
      <w:r w:rsidRPr="002F514C">
        <w:t xml:space="preserve">Do not perform work on, nor haul materials of any kind along or across any portion of the highway carrying STH 49 </w:t>
      </w:r>
      <w:r w:rsidR="002D44A1">
        <w:t xml:space="preserve">or STH 161 </w:t>
      </w:r>
      <w:r w:rsidRPr="002F514C">
        <w:t>traffic during the following holiday periods:</w:t>
      </w:r>
    </w:p>
    <w:p w:rsidR="009F58B7" w:rsidRDefault="009F58B7" w:rsidP="00D439F7">
      <w:pPr>
        <w:pStyle w:val="spBullet1"/>
        <w:rPr>
          <w:rFonts w:eastAsiaTheme="minorHAnsi" w:cstheme="minorBidi"/>
          <w:sz w:val="20"/>
          <w:szCs w:val="28"/>
        </w:rPr>
      </w:pPr>
      <w:r w:rsidRPr="00F52055">
        <w:rPr>
          <w:rFonts w:eastAsiaTheme="minorHAnsi" w:cstheme="minorBidi"/>
          <w:sz w:val="20"/>
          <w:szCs w:val="28"/>
        </w:rPr>
        <w:t>-</w:t>
      </w:r>
      <w:r w:rsidRPr="00F52055">
        <w:rPr>
          <w:rFonts w:eastAsiaTheme="minorHAnsi" w:cstheme="minorBidi"/>
          <w:sz w:val="20"/>
          <w:szCs w:val="28"/>
        </w:rPr>
        <w:tab/>
        <w:t>From noon Friday, September 4, 2020 to 6:00 AM Tuesday, September 8, 2020</w:t>
      </w:r>
      <w:r w:rsidR="00FD4DEC">
        <w:rPr>
          <w:rFonts w:eastAsiaTheme="minorHAnsi" w:cstheme="minorBidi"/>
          <w:sz w:val="20"/>
          <w:szCs w:val="28"/>
        </w:rPr>
        <w:t>;</w:t>
      </w:r>
      <w:r w:rsidRPr="00F52055">
        <w:rPr>
          <w:rFonts w:eastAsiaTheme="minorHAnsi" w:cstheme="minorBidi"/>
          <w:sz w:val="20"/>
          <w:szCs w:val="28"/>
        </w:rPr>
        <w:t xml:space="preserve"> Labor Day;</w:t>
      </w:r>
    </w:p>
    <w:p w:rsidR="008F2151" w:rsidRPr="008F2151" w:rsidRDefault="008F2151" w:rsidP="00D439F7">
      <w:pPr>
        <w:pStyle w:val="1Heading1"/>
        <w:numPr>
          <w:ilvl w:val="0"/>
          <w:numId w:val="1"/>
        </w:numPr>
        <w:ind w:left="0" w:hanging="720"/>
        <w:rPr>
          <w:rFonts w:cs="Arial"/>
        </w:rPr>
      </w:pPr>
      <w:bookmarkStart w:id="14" w:name="_Toc23400012"/>
      <w:r w:rsidRPr="008F2151">
        <w:rPr>
          <w:rFonts w:cs="Arial"/>
        </w:rPr>
        <w:t>Property Marks – Protecting and Restoring.</w:t>
      </w:r>
      <w:bookmarkEnd w:id="14"/>
    </w:p>
    <w:p w:rsidR="008F2151" w:rsidRDefault="008F2151" w:rsidP="00D439F7">
      <w:pPr>
        <w:pStyle w:val="spParagraph"/>
        <w:rPr>
          <w:i/>
        </w:rPr>
      </w:pPr>
      <w:r>
        <w:rPr>
          <w:i/>
        </w:rPr>
        <w:t>Replace standard spec107.11.3 (1) with the following:</w:t>
      </w:r>
    </w:p>
    <w:p w:rsidR="008F2151" w:rsidRDefault="008F2151" w:rsidP="00D439F7">
      <w:pPr>
        <w:pStyle w:val="spParagraph"/>
      </w:pPr>
      <w:r>
        <w:t>Protect and carefully preserve all known property and survey marks, land monuments, and right-of-way monuments and marker posts. Notify the engineer of the nature and location of these monuments and markers. Do not disturb or destroy monuments or markers until the engineer has arranged for their referencing or perpetuation.</w:t>
      </w:r>
    </w:p>
    <w:p w:rsidR="008F2151" w:rsidRDefault="008F2151" w:rsidP="00D439F7">
      <w:pPr>
        <w:pStyle w:val="spParagraph"/>
      </w:pPr>
      <w:r>
        <w:t>Reset or replace, to the required standard,</w:t>
      </w:r>
      <w:r>
        <w:rPr>
          <w:color w:val="00B050"/>
        </w:rPr>
        <w:t xml:space="preserve"> </w:t>
      </w:r>
      <w:r>
        <w:t>any property and survey marks, land monuments, and right-of-way monuments and marker posts that fall outside the construction limits that are shifted, lost or damaged by the contractor during construction operations, as determined by the engineer. If the contractor fails to restore the disturbed monuments or markers within a reasonable time, the department may, upon 48 hours written notice, restore the disturbed monuments or markers.</w:t>
      </w:r>
      <w:r>
        <w:rPr>
          <w:color w:val="FF0000"/>
        </w:rPr>
        <w:t xml:space="preserve"> </w:t>
      </w:r>
      <w:r>
        <w:t>The department will deduct restoration costs from payments due the contractor under the contract.</w:t>
      </w:r>
    </w:p>
    <w:p w:rsidR="008F2151" w:rsidRPr="00CB3813" w:rsidRDefault="008F2151" w:rsidP="00D439F7">
      <w:pPr>
        <w:pStyle w:val="spVersion"/>
        <w:rPr>
          <w:szCs w:val="18"/>
        </w:rPr>
      </w:pPr>
      <w:r w:rsidRPr="00CB3813">
        <w:rPr>
          <w:szCs w:val="18"/>
        </w:rPr>
        <w:t>ncr-107-010 (20110531)</w:t>
      </w:r>
    </w:p>
    <w:p w:rsidR="001D16BE" w:rsidRPr="00234DD3" w:rsidRDefault="001D16BE" w:rsidP="00D439F7">
      <w:pPr>
        <w:pStyle w:val="1Heading1"/>
        <w:numPr>
          <w:ilvl w:val="0"/>
          <w:numId w:val="1"/>
        </w:numPr>
        <w:ind w:left="0" w:hanging="720"/>
      </w:pPr>
      <w:bookmarkStart w:id="15" w:name="_Toc12619419"/>
      <w:bookmarkStart w:id="16" w:name="_Toc23400013"/>
      <w:bookmarkEnd w:id="15"/>
      <w:r w:rsidRPr="00234DD3">
        <w:t>Utilities.</w:t>
      </w:r>
      <w:bookmarkEnd w:id="16"/>
    </w:p>
    <w:p w:rsidR="00D439F7" w:rsidRPr="00234DD3" w:rsidRDefault="00D439F7" w:rsidP="00D439F7">
      <w:pPr>
        <w:pStyle w:val="spParagraph"/>
      </w:pPr>
      <w:r w:rsidRPr="00234DD3">
        <w:t>This contract comes under the provision of Administrative Rule Trans 220.</w:t>
      </w:r>
    </w:p>
    <w:p w:rsidR="00D439F7" w:rsidRPr="00CB3813" w:rsidRDefault="00D439F7" w:rsidP="00D439F7">
      <w:pPr>
        <w:pStyle w:val="spVersion"/>
        <w:rPr>
          <w:szCs w:val="18"/>
        </w:rPr>
      </w:pPr>
      <w:r w:rsidRPr="00CB3813">
        <w:rPr>
          <w:szCs w:val="18"/>
        </w:rPr>
        <w:lastRenderedPageBreak/>
        <w:t>stp-107-065 (20080501)</w:t>
      </w:r>
    </w:p>
    <w:p w:rsidR="00D439F7" w:rsidRDefault="00D439F7" w:rsidP="00D439F7">
      <w:pPr>
        <w:pStyle w:val="spParagraph"/>
      </w:pPr>
      <w:r w:rsidRPr="00B311A6">
        <w:t xml:space="preserve">There are known underground and overhead utility facilities located near or within the project limits. The contractor shall coordinate his construction activities with a call to Diggers Hotline or a direct call to utilities, which have facilities in the area, as required per statutes. The contractor shall use caution to ensure the entirety of underground facilities and </w:t>
      </w:r>
      <w:proofErr w:type="gramStart"/>
      <w:r w:rsidRPr="00B311A6">
        <w:t>shall maintain code clearance from overhead facilities at all times</w:t>
      </w:r>
      <w:proofErr w:type="gramEnd"/>
      <w:r w:rsidRPr="00B311A6">
        <w:t>.</w:t>
      </w:r>
    </w:p>
    <w:p w:rsidR="00D439F7" w:rsidRPr="00B311A6" w:rsidRDefault="00D439F7" w:rsidP="00D439F7">
      <w:pPr>
        <w:pStyle w:val="spParagraph"/>
      </w:pPr>
      <w:r w:rsidRPr="004D53EC">
        <w:t xml:space="preserve">Some of the utility work described below is dependent on prior work being performed by the contractor at a specific site. In such situations, provide the engineer and the affected utility a good faith </w:t>
      </w:r>
      <w:proofErr w:type="gramStart"/>
      <w:r w:rsidRPr="004D53EC">
        <w:t>notice</w:t>
      </w:r>
      <w:proofErr w:type="gramEnd"/>
      <w:r w:rsidRPr="004D53EC">
        <w:t xml:space="preserve"> of when the utility is to start work at the site. Provide this notice 14 to 16 calendar days in advance of when the prior work will be </w:t>
      </w:r>
      <w:proofErr w:type="gramStart"/>
      <w:r w:rsidRPr="004D53EC">
        <w:t>completed</w:t>
      </w:r>
      <w:proofErr w:type="gramEnd"/>
      <w:r w:rsidRPr="004D53EC">
        <w:t xml:space="preserve"> and the site will be available to the utility owner. Follow-up with a confirmation notice to the engineer and the utility owner not less than three working days before the site will be ready for the utility owner to begin its work.</w:t>
      </w:r>
    </w:p>
    <w:p w:rsidR="00D439F7" w:rsidRPr="00C22816" w:rsidRDefault="00D439F7" w:rsidP="00D439F7">
      <w:pPr>
        <w:pStyle w:val="spParagraph"/>
      </w:pPr>
      <w:r w:rsidRPr="00B311A6">
        <w:t xml:space="preserve">The </w:t>
      </w:r>
      <w:r w:rsidRPr="00C22816">
        <w:t xml:space="preserve">utilities on this project are Alliant Energy (Electric/Gas), Amherst Telephone Company (Communication), Mediacom Wisconsin LLC (Communication), </w:t>
      </w:r>
      <w:r>
        <w:t xml:space="preserve">TDS Telecom (Communications), </w:t>
      </w:r>
      <w:r w:rsidRPr="00C22816">
        <w:t>and Village of Iola (Sewer/Water).</w:t>
      </w:r>
    </w:p>
    <w:p w:rsidR="00D439F7" w:rsidRPr="00C22816" w:rsidRDefault="00D439F7" w:rsidP="00D439F7">
      <w:pPr>
        <w:pStyle w:val="spParagraph"/>
        <w:rPr>
          <w:u w:val="single"/>
        </w:rPr>
      </w:pPr>
      <w:r w:rsidRPr="00C22816">
        <w:rPr>
          <w:b/>
          <w:u w:val="single"/>
        </w:rPr>
        <w:t>Alliant Energy - Electric</w:t>
      </w:r>
      <w:r>
        <w:rPr>
          <w:b/>
          <w:u w:val="single"/>
        </w:rPr>
        <w:t>ity</w:t>
      </w:r>
    </w:p>
    <w:p w:rsidR="00D439F7" w:rsidRPr="00C22816" w:rsidRDefault="00D439F7" w:rsidP="00D439F7">
      <w:pPr>
        <w:pStyle w:val="spParagraph"/>
      </w:pPr>
      <w:r w:rsidRPr="00C22816">
        <w:t xml:space="preserve">Overhead electric facilities pass through Veteran’s Memorial Park along the south east side of corridor and cross STH 49 along the south side of the existing bridge structure before heading north along STH 49 along the west side of the corridor. </w:t>
      </w:r>
    </w:p>
    <w:p w:rsidR="00D439F7" w:rsidRPr="00C22816" w:rsidRDefault="00D439F7" w:rsidP="00D439F7">
      <w:pPr>
        <w:pStyle w:val="spParagraph"/>
      </w:pPr>
      <w:r w:rsidRPr="00C22816">
        <w:t>Alliant Energy will be temporarily removing the overhead crossing near station 9+43 and the overhead line between station 9+70</w:t>
      </w:r>
      <w:r>
        <w:t>, LT</w:t>
      </w:r>
      <w:r w:rsidRPr="00C22816">
        <w:t xml:space="preserve"> and 11+10, LT to make room for construction of the structure B-68-0113. The existing pole located near station 11+10, LT will be replaced in kind and temporary guy anchors will be installed 17 feet south of the pole to dead end the overhead electric lines during construction. </w:t>
      </w:r>
      <w:r>
        <w:t xml:space="preserve">From the existing pole near station 11+10, LT, the overhead facilities will be removed and replaced with underground facilities. The existing pole located near station 11+55, RT will be replaced with an underground pedestal. </w:t>
      </w:r>
      <w:r w:rsidRPr="00C22816">
        <w:t>Following construction of the new bridge, the overhead poles and lines will be reinstalled near their existing locations and the temporary guy anchors will be removed. Alliant Energy will complete the temporary removals prior to the start of construction operations and will reinstall the facilities after construction is complete under this contract.</w:t>
      </w:r>
    </w:p>
    <w:p w:rsidR="00D439F7" w:rsidRPr="00C22816" w:rsidRDefault="00D439F7" w:rsidP="00D439F7">
      <w:pPr>
        <w:pStyle w:val="spParagraph"/>
      </w:pPr>
      <w:r w:rsidRPr="00C22816">
        <w:rPr>
          <w:b/>
          <w:u w:val="single"/>
        </w:rPr>
        <w:t xml:space="preserve">Alliant Energy </w:t>
      </w:r>
      <w:r>
        <w:rPr>
          <w:b/>
          <w:u w:val="single"/>
        </w:rPr>
        <w:t>–</w:t>
      </w:r>
      <w:r w:rsidRPr="00C22816">
        <w:rPr>
          <w:b/>
          <w:u w:val="single"/>
        </w:rPr>
        <w:t xml:space="preserve"> Gas</w:t>
      </w:r>
      <w:r>
        <w:rPr>
          <w:b/>
          <w:u w:val="single"/>
        </w:rPr>
        <w:t>/Petroleum</w:t>
      </w:r>
    </w:p>
    <w:p w:rsidR="00D439F7" w:rsidRDefault="00D439F7" w:rsidP="00D439F7">
      <w:pPr>
        <w:pStyle w:val="spParagraph"/>
      </w:pPr>
      <w:r w:rsidRPr="00C22816">
        <w:t>Gas facilities run along the west side of the corridor and extend north to the south side of the existing bridge structure where the</w:t>
      </w:r>
      <w:r w:rsidRPr="00E14F6D">
        <w:t xml:space="preserve"> </w:t>
      </w:r>
      <w:r>
        <w:t>existing gas line</w:t>
      </w:r>
      <w:r w:rsidRPr="00E14F6D">
        <w:t xml:space="preserve"> terminates.</w:t>
      </w:r>
      <w:r>
        <w:t xml:space="preserve"> A gas line also crosses STH 161 on the east side of the intersection of STH 161 and Town Line Road. </w:t>
      </w:r>
    </w:p>
    <w:p w:rsidR="00D439F7" w:rsidRDefault="00D439F7" w:rsidP="00D439F7">
      <w:pPr>
        <w:pStyle w:val="spParagraph"/>
      </w:pPr>
      <w:r>
        <w:t>Alliant Energy will be discontinuing a portion of the gas main from station 9+05, LT to station 9+78, LT and the service near station 9+65, LT. At station 9+05, LT a new gas service will be constructed to the west.</w:t>
      </w:r>
    </w:p>
    <w:p w:rsidR="00D439F7" w:rsidRDefault="00D439F7" w:rsidP="00D439F7">
      <w:pPr>
        <w:pStyle w:val="spParagraph"/>
      </w:pPr>
      <w:r>
        <w:t>If discontinued gas facilities are encountered during construction of the structure, the contractor may request an Alliant Energy representative verify the removal limits of the identified facilities.</w:t>
      </w:r>
    </w:p>
    <w:p w:rsidR="00D439F7" w:rsidRDefault="00D439F7" w:rsidP="00D439F7">
      <w:pPr>
        <w:pStyle w:val="spParagraph"/>
      </w:pPr>
      <w:r>
        <w:t xml:space="preserve">Existing gas main located between station 50+55 and 50+66 will remain in place but the valve box near station 50+60, RT will be adjusted to the new grade elevation during construction. </w:t>
      </w:r>
    </w:p>
    <w:p w:rsidR="00D439F7" w:rsidRPr="00C41B28" w:rsidRDefault="00D439F7" w:rsidP="00D439F7">
      <w:pPr>
        <w:pStyle w:val="spParagraph"/>
      </w:pPr>
      <w:r>
        <w:t xml:space="preserve">The existing gas main located near station 300+95, LT will remain in place and is not expected to conflict </w:t>
      </w:r>
      <w:r w:rsidRPr="00C41B28">
        <w:t xml:space="preserve">with construction. </w:t>
      </w:r>
    </w:p>
    <w:p w:rsidR="00D439F7" w:rsidRPr="00C41B28" w:rsidRDefault="00D439F7" w:rsidP="00D439F7">
      <w:pPr>
        <w:pStyle w:val="spParagraph"/>
      </w:pPr>
      <w:r w:rsidRPr="00C41B28">
        <w:t>Alliant Energy will adjust gas main valve box on the corner of Town Line Road and STH 161 during construction, but all other work will be completed prior to construction operations under this contract.</w:t>
      </w:r>
    </w:p>
    <w:p w:rsidR="00D439F7" w:rsidRPr="00C41B28" w:rsidRDefault="00D439F7" w:rsidP="00D439F7">
      <w:pPr>
        <w:pStyle w:val="spParagraph"/>
        <w:rPr>
          <w:b/>
        </w:rPr>
      </w:pPr>
      <w:r w:rsidRPr="00C41B28">
        <w:rPr>
          <w:b/>
          <w:u w:val="single"/>
        </w:rPr>
        <w:t>Amherst Telephone Company - Communication</w:t>
      </w:r>
    </w:p>
    <w:p w:rsidR="00D439F7" w:rsidRPr="00C41D41" w:rsidRDefault="00D439F7" w:rsidP="00D439F7">
      <w:pPr>
        <w:pStyle w:val="spParagraph"/>
      </w:pPr>
      <w:r w:rsidRPr="00C41B28">
        <w:t>Underground utility facilities are located along both sides</w:t>
      </w:r>
      <w:r>
        <w:t xml:space="preserve"> of the Town Line Road corridor and at various </w:t>
      </w:r>
      <w:r w:rsidRPr="00C41D41">
        <w:t>locations around the intersections of W. State Street and Town Line Road and Town Line Road and STH 161. No conflicts are anticipated.</w:t>
      </w:r>
    </w:p>
    <w:p w:rsidR="00D439F7" w:rsidRPr="00C41B28" w:rsidRDefault="00D439F7" w:rsidP="00D439F7">
      <w:pPr>
        <w:pStyle w:val="spParagraph"/>
        <w:rPr>
          <w:u w:val="single"/>
        </w:rPr>
      </w:pPr>
      <w:r w:rsidRPr="00C41B28">
        <w:rPr>
          <w:b/>
          <w:u w:val="single"/>
        </w:rPr>
        <w:t>Mediacom Wisconsin LLC - Communication</w:t>
      </w:r>
    </w:p>
    <w:p w:rsidR="00D439F7" w:rsidRPr="00C41B28" w:rsidRDefault="00D439F7" w:rsidP="00D439F7">
      <w:pPr>
        <w:pStyle w:val="spParagraph"/>
      </w:pPr>
      <w:r w:rsidRPr="00C41B28">
        <w:t xml:space="preserve">Mediacom Wisconsin LLC </w:t>
      </w:r>
      <w:r>
        <w:t xml:space="preserve">(Mediacom) </w:t>
      </w:r>
      <w:r w:rsidRPr="00C41B28">
        <w:t xml:space="preserve">has aerial communication </w:t>
      </w:r>
      <w:r>
        <w:t xml:space="preserve">facilities </w:t>
      </w:r>
      <w:r w:rsidRPr="00C41B28">
        <w:t>on overhead poles in conjunction with Alliant Energy facilities</w:t>
      </w:r>
      <w:r>
        <w:t>. Mediacom u</w:t>
      </w:r>
      <w:r w:rsidRPr="00C41B28">
        <w:t xml:space="preserve">nderground </w:t>
      </w:r>
      <w:r>
        <w:t>facilities</w:t>
      </w:r>
      <w:r w:rsidRPr="00C41B28">
        <w:t xml:space="preserve"> are located around the intersections of W. State Street and Town Line Road, Town Line Road and STH 161 and along STH 49 between Depot Street and STH 161.</w:t>
      </w:r>
    </w:p>
    <w:p w:rsidR="00D439F7" w:rsidRPr="006A441A" w:rsidRDefault="00D439F7" w:rsidP="00D439F7">
      <w:pPr>
        <w:pStyle w:val="spParagraph"/>
      </w:pPr>
      <w:r w:rsidRPr="00C41B28">
        <w:lastRenderedPageBreak/>
        <w:t>Mediacom will remove their overhead line from Alliant Energy poles between station 9+28 and 11+50</w:t>
      </w:r>
      <w:r>
        <w:t>.</w:t>
      </w:r>
      <w:r w:rsidRPr="00C41B28">
        <w:t xml:space="preserve"> </w:t>
      </w:r>
      <w:r>
        <w:t>A</w:t>
      </w:r>
      <w:r w:rsidRPr="00C41B28">
        <w:t xml:space="preserve"> new fiber optic line </w:t>
      </w:r>
      <w:r>
        <w:t xml:space="preserve">will be constructed </w:t>
      </w:r>
      <w:r w:rsidRPr="00C41B28">
        <w:t>along the west side of Town Line Road</w:t>
      </w:r>
      <w:r>
        <w:t xml:space="preserve"> from approximately station 199+50, LT to station 209+00, LT. The relocated fiber optic line will be buried deep enough so not to conflict with the construction of the temporary widening taking place at the intersection of W. State Street and Town Line Road. An underground crossing will be bored near approximately station 300+00 under</w:t>
      </w:r>
      <w:r w:rsidRPr="00C41B28">
        <w:t xml:space="preserve"> STH</w:t>
      </w:r>
      <w:r>
        <w:t> </w:t>
      </w:r>
      <w:r w:rsidRPr="00C41B28">
        <w:t>161</w:t>
      </w:r>
      <w:r>
        <w:t xml:space="preserve"> and will continue underground to the east along the north side of the STH 161 corridor from approximately station 300+00, LT to station 313+00, LT to connect to an existing fiber optic facility. </w:t>
      </w:r>
      <w:r w:rsidRPr="00C41B28">
        <w:t>Mediacom’s relocation will be</w:t>
      </w:r>
      <w:r>
        <w:t xml:space="preserve"> a</w:t>
      </w:r>
      <w:r w:rsidRPr="00C41B28">
        <w:t xml:space="preserve"> </w:t>
      </w:r>
      <w:r>
        <w:t xml:space="preserve">permanent relocation and will be </w:t>
      </w:r>
      <w:r w:rsidRPr="00C41B28">
        <w:t>completed prior to construction operations under this contract.</w:t>
      </w:r>
    </w:p>
    <w:p w:rsidR="00D439F7" w:rsidRPr="00C41D41" w:rsidRDefault="00D439F7" w:rsidP="00D439F7">
      <w:pPr>
        <w:pStyle w:val="spParagraph"/>
        <w:rPr>
          <w:b/>
        </w:rPr>
      </w:pPr>
      <w:r>
        <w:rPr>
          <w:b/>
          <w:u w:val="single"/>
        </w:rPr>
        <w:t>TDS Telecom</w:t>
      </w:r>
      <w:r w:rsidRPr="00C41D41">
        <w:rPr>
          <w:b/>
          <w:u w:val="single"/>
        </w:rPr>
        <w:t xml:space="preserve"> - </w:t>
      </w:r>
      <w:r>
        <w:rPr>
          <w:b/>
          <w:u w:val="single"/>
        </w:rPr>
        <w:t>Communication</w:t>
      </w:r>
    </w:p>
    <w:p w:rsidR="00D439F7" w:rsidRPr="006D4A4A" w:rsidRDefault="00D439F7" w:rsidP="00D439F7">
      <w:pPr>
        <w:pStyle w:val="spParagraph"/>
      </w:pPr>
      <w:r w:rsidRPr="006D4A4A">
        <w:t>TDS Telecom (TDS) has underground facilities located around the intersections of W. State Street and Town Line Road, and Town Line Road and STH 161. Underground fiber optic and telephone facilities travel east and west along the north side of the W. State Street corridor and north and south along the west side of the Town Line Road corridor. A hand hole facility is located at the intersection of the facilities on the west side of the W. State Street and Town Line Road intersection near station 201+15, LT.</w:t>
      </w:r>
    </w:p>
    <w:p w:rsidR="00D439F7" w:rsidRPr="005E2F58" w:rsidRDefault="00D439F7" w:rsidP="00D439F7">
      <w:pPr>
        <w:pStyle w:val="spParagraph"/>
      </w:pPr>
      <w:r w:rsidRPr="006D4A4A">
        <w:t>TDS will remove and relocate their existing hand hole facility located near station 201+15, LT outside of</w:t>
      </w:r>
      <w:r w:rsidRPr="005E2F58">
        <w:t xml:space="preserve"> the temporary widening construction area to the west adjacent to the right of way line along Town Line Road. TDS’s relocation will be a permanent relocation and will be completed prior to construction operations under this contract.</w:t>
      </w:r>
    </w:p>
    <w:p w:rsidR="00D439F7" w:rsidRPr="00C41D41" w:rsidRDefault="00D439F7" w:rsidP="00D439F7">
      <w:pPr>
        <w:pStyle w:val="spParagraph"/>
        <w:rPr>
          <w:b/>
        </w:rPr>
      </w:pPr>
      <w:r w:rsidRPr="005E2F58">
        <w:rPr>
          <w:b/>
          <w:u w:val="single"/>
        </w:rPr>
        <w:t>Village of Iola - Sewer</w:t>
      </w:r>
    </w:p>
    <w:p w:rsidR="00D439F7" w:rsidRPr="00C41D41" w:rsidRDefault="00D439F7" w:rsidP="00D439F7">
      <w:pPr>
        <w:pStyle w:val="spParagraph"/>
      </w:pPr>
      <w:r w:rsidRPr="00C41D41">
        <w:t>Sewer facilities are located within the project limits at the intersection of W. State Street and Town Line Road. No conflicts are anticipated.</w:t>
      </w:r>
    </w:p>
    <w:p w:rsidR="00D439F7" w:rsidRPr="00C41D41" w:rsidRDefault="00D439F7" w:rsidP="00D439F7">
      <w:pPr>
        <w:pStyle w:val="spParagraph"/>
        <w:rPr>
          <w:b/>
        </w:rPr>
      </w:pPr>
      <w:r w:rsidRPr="00C41D41">
        <w:rPr>
          <w:b/>
          <w:u w:val="single"/>
        </w:rPr>
        <w:t>Village of Iola - Water</w:t>
      </w:r>
    </w:p>
    <w:p w:rsidR="00C41D41" w:rsidRDefault="00D439F7" w:rsidP="00D439F7">
      <w:pPr>
        <w:pStyle w:val="spParagraph"/>
      </w:pPr>
      <w:r w:rsidRPr="00C41D41">
        <w:t>Water facilities are located</w:t>
      </w:r>
      <w:r>
        <w:t xml:space="preserve"> at the s</w:t>
      </w:r>
      <w:r w:rsidRPr="00E14F6D">
        <w:t xml:space="preserve">outh end of </w:t>
      </w:r>
      <w:r>
        <w:t xml:space="preserve">the </w:t>
      </w:r>
      <w:r w:rsidRPr="00E14F6D">
        <w:t xml:space="preserve">existing bridge </w:t>
      </w:r>
      <w:r>
        <w:t xml:space="preserve">along STH 49 </w:t>
      </w:r>
      <w:r w:rsidRPr="00E14F6D">
        <w:t xml:space="preserve">and run </w:t>
      </w:r>
      <w:r>
        <w:t xml:space="preserve">west </w:t>
      </w:r>
      <w:r w:rsidRPr="00E14F6D">
        <w:t xml:space="preserve">along </w:t>
      </w:r>
      <w:r>
        <w:t xml:space="preserve">the </w:t>
      </w:r>
      <w:r w:rsidRPr="00E14F6D">
        <w:t xml:space="preserve">south side of </w:t>
      </w:r>
      <w:r>
        <w:t>the S. Branch of the Little Wolf River. There are also water facilities at the intersections of W. State Street and Town Line Road and Town Line Road and STH 161</w:t>
      </w:r>
      <w:r w:rsidRPr="00E14F6D">
        <w:t>.</w:t>
      </w:r>
      <w:r>
        <w:t xml:space="preserve"> No conflicts are anticipated.</w:t>
      </w:r>
    </w:p>
    <w:p w:rsidR="00CF0DAB" w:rsidRPr="00CF0DAB" w:rsidRDefault="00CF0DAB" w:rsidP="00D439F7">
      <w:pPr>
        <w:pStyle w:val="1Heading1"/>
        <w:numPr>
          <w:ilvl w:val="0"/>
          <w:numId w:val="1"/>
        </w:numPr>
        <w:ind w:left="0" w:hanging="720"/>
      </w:pPr>
      <w:bookmarkStart w:id="17" w:name="_Toc278804839"/>
      <w:bookmarkStart w:id="18" w:name="_Toc23400014"/>
      <w:r w:rsidRPr="00CF0DAB">
        <w:t>Health and Safety Requirements for Workers Remediating Petroleum Contamination</w:t>
      </w:r>
      <w:bookmarkEnd w:id="17"/>
      <w:r>
        <w:t>.</w:t>
      </w:r>
      <w:bookmarkEnd w:id="18"/>
    </w:p>
    <w:p w:rsidR="00CF0DAB" w:rsidRPr="00CF0DAB" w:rsidRDefault="00CF0DAB" w:rsidP="00D439F7">
      <w:pPr>
        <w:pStyle w:val="spParagraph"/>
      </w:pPr>
      <w:r w:rsidRPr="00CF0DAB">
        <w:t>Soil and groundwater contaminated with gasoline, diesel fuel, fuel oil, or other petroleum related products may be encountered during excavation activities. Prepare a site specific Health and Safety Plan complying with the Occupational Safety and Health Administration (OSHA) standard for Hazardous Waste Operation and Emergency Response (HAZWOPER), 29 CFR 1910.120.</w:t>
      </w:r>
    </w:p>
    <w:p w:rsidR="00CF0DAB" w:rsidRPr="00CF0DAB" w:rsidRDefault="00CF0DAB" w:rsidP="00D439F7">
      <w:pPr>
        <w:pStyle w:val="spParagraph"/>
      </w:pPr>
      <w:r w:rsidRPr="00CF0DAB">
        <w:t>All site workers taking part in remediation activities or who will have the reasonable probability of exposure to safety or health hazards associated with the hazardous material shall have completed Health and Safety training that meets OSHA requirements. Prior to the start of remediation work, submit to the engineer a site specific Health and Safety Plan, and written verification that workers have completed up-to-date OSHA training.</w:t>
      </w:r>
    </w:p>
    <w:p w:rsidR="00CF0DAB" w:rsidRDefault="00CF0DAB" w:rsidP="00D439F7">
      <w:pPr>
        <w:pStyle w:val="spParagraph"/>
      </w:pPr>
      <w:r w:rsidRPr="00CF0DAB">
        <w:t>Develop, delineate, and enforce the health and safety exclusions zones for each contaminated site location pursuant to 29 CFR 1910.120.</w:t>
      </w:r>
    </w:p>
    <w:p w:rsidR="00F40391" w:rsidRPr="00F40391" w:rsidRDefault="00F40391" w:rsidP="00D439F7">
      <w:pPr>
        <w:pStyle w:val="1Heading1"/>
        <w:numPr>
          <w:ilvl w:val="0"/>
          <w:numId w:val="1"/>
        </w:numPr>
        <w:ind w:left="0" w:hanging="720"/>
      </w:pPr>
      <w:bookmarkStart w:id="19" w:name="_Toc23400015"/>
      <w:r w:rsidRPr="00F40391">
        <w:t>Hazardous Materials Contamination</w:t>
      </w:r>
      <w:r>
        <w:t>.</w:t>
      </w:r>
      <w:bookmarkEnd w:id="19"/>
    </w:p>
    <w:p w:rsidR="00D439F7" w:rsidRDefault="00F40391" w:rsidP="00D439F7">
      <w:pPr>
        <w:pStyle w:val="spParagraph"/>
        <w:rPr>
          <w:rFonts w:cs="Arial"/>
          <w:szCs w:val="20"/>
        </w:rPr>
      </w:pPr>
      <w:r w:rsidRPr="00F40391">
        <w:t xml:space="preserve">The department and others have completed testing for subsurface contamination at locations within and adjacent to this project where excavation or grading may be required.  Testing indicated contaminated soil and/or groundwater detected above the Wisconsin Department of Natural Resources regulatory </w:t>
      </w:r>
      <w:r w:rsidRPr="00D439F7">
        <w:rPr>
          <w:rFonts w:cs="Arial"/>
          <w:szCs w:val="20"/>
        </w:rPr>
        <w:t>standards are known or suspected to be present at the following locations and as shown on the plans:</w:t>
      </w:r>
      <w:r w:rsidR="00D439F7">
        <w:rPr>
          <w:rFonts w:cs="Arial"/>
          <w:szCs w:val="20"/>
        </w:rPr>
        <w:br w:type="page"/>
      </w:r>
    </w:p>
    <w:p w:rsidR="00F40391" w:rsidRPr="00D439F7" w:rsidRDefault="00F40391" w:rsidP="00D439F7">
      <w:pPr>
        <w:pStyle w:val="spParagraph"/>
        <w:rPr>
          <w:rFonts w:cs="Arial"/>
          <w:szCs w:val="20"/>
        </w:rPr>
      </w:pPr>
    </w:p>
    <w:tbl>
      <w:tblPr>
        <w:tblStyle w:val="TableGrid2"/>
        <w:tblpPr w:leftFromText="180" w:rightFromText="180" w:vertAnchor="text" w:tblpX="-144" w:tblpY="1"/>
        <w:tblOverlap w:val="never"/>
        <w:tblW w:w="9612" w:type="dxa"/>
        <w:tblLook w:val="04A0" w:firstRow="1" w:lastRow="0" w:firstColumn="1" w:lastColumn="0" w:noHBand="0" w:noVBand="1"/>
      </w:tblPr>
      <w:tblGrid>
        <w:gridCol w:w="3582"/>
        <w:gridCol w:w="6030"/>
      </w:tblGrid>
      <w:tr w:rsidR="00F40391" w:rsidRPr="00D439F7" w:rsidTr="00D439F7">
        <w:trPr>
          <w:cantSplit/>
          <w:tblHeader/>
        </w:trPr>
        <w:tc>
          <w:tcPr>
            <w:tcW w:w="3582" w:type="dxa"/>
          </w:tcPr>
          <w:p w:rsidR="00F40391" w:rsidRPr="00D439F7" w:rsidRDefault="00F40391" w:rsidP="00D439F7">
            <w:pPr>
              <w:keepNext/>
              <w:keepLines/>
              <w:rPr>
                <w:rFonts w:ascii="Arial" w:hAnsi="Arial" w:cs="Arial"/>
                <w:b/>
                <w:sz w:val="20"/>
                <w:szCs w:val="20"/>
              </w:rPr>
            </w:pPr>
            <w:r w:rsidRPr="00D439F7">
              <w:rPr>
                <w:rFonts w:ascii="Arial" w:hAnsi="Arial" w:cs="Arial"/>
                <w:b/>
                <w:sz w:val="20"/>
                <w:szCs w:val="20"/>
              </w:rPr>
              <w:t>Site Name and Location</w:t>
            </w:r>
          </w:p>
        </w:tc>
        <w:tc>
          <w:tcPr>
            <w:tcW w:w="6030" w:type="dxa"/>
          </w:tcPr>
          <w:p w:rsidR="00F40391" w:rsidRPr="00D439F7" w:rsidRDefault="00F40391" w:rsidP="00D439F7">
            <w:pPr>
              <w:keepNext/>
              <w:keepLines/>
              <w:rPr>
                <w:rFonts w:ascii="Arial" w:hAnsi="Arial" w:cs="Arial"/>
                <w:b/>
                <w:sz w:val="20"/>
                <w:szCs w:val="20"/>
              </w:rPr>
            </w:pPr>
            <w:r w:rsidRPr="00D439F7">
              <w:rPr>
                <w:rFonts w:ascii="Arial" w:hAnsi="Arial" w:cs="Arial"/>
                <w:b/>
                <w:sz w:val="20"/>
                <w:szCs w:val="20"/>
              </w:rPr>
              <w:t>Description</w:t>
            </w:r>
          </w:p>
        </w:tc>
      </w:tr>
      <w:tr w:rsidR="00F40391" w:rsidRPr="00D439F7" w:rsidTr="00D439F7">
        <w:trPr>
          <w:cantSplit/>
          <w:tblHeader/>
        </w:trPr>
        <w:tc>
          <w:tcPr>
            <w:tcW w:w="3582" w:type="dxa"/>
          </w:tcPr>
          <w:p w:rsidR="00F40391" w:rsidRPr="00D439F7" w:rsidRDefault="00F40391" w:rsidP="00D439F7">
            <w:pPr>
              <w:keepNext/>
              <w:keepLines/>
              <w:rPr>
                <w:rFonts w:ascii="Arial" w:hAnsi="Arial" w:cs="Arial"/>
                <w:sz w:val="20"/>
                <w:szCs w:val="20"/>
              </w:rPr>
            </w:pPr>
            <w:r w:rsidRPr="00D439F7">
              <w:rPr>
                <w:rFonts w:ascii="Arial" w:hAnsi="Arial" w:cs="Arial"/>
                <w:sz w:val="20"/>
                <w:szCs w:val="20"/>
              </w:rPr>
              <w:t>Depot Street Station (Closed LUST)</w:t>
            </w:r>
          </w:p>
          <w:p w:rsidR="00F40391" w:rsidRPr="00D439F7" w:rsidRDefault="00F40391" w:rsidP="00D439F7">
            <w:pPr>
              <w:keepNext/>
              <w:keepLines/>
              <w:autoSpaceDE w:val="0"/>
              <w:autoSpaceDN w:val="0"/>
              <w:adjustRightInd w:val="0"/>
              <w:rPr>
                <w:rFonts w:ascii="Arial" w:hAnsi="Arial" w:cs="Arial"/>
                <w:sz w:val="20"/>
                <w:szCs w:val="20"/>
              </w:rPr>
            </w:pPr>
            <w:r w:rsidRPr="00D439F7">
              <w:rPr>
                <w:rFonts w:ascii="Arial" w:hAnsi="Arial" w:cs="Arial"/>
                <w:sz w:val="20"/>
                <w:szCs w:val="20"/>
              </w:rPr>
              <w:t>110 and 140 Depot Street</w:t>
            </w:r>
          </w:p>
          <w:p w:rsidR="00F40391" w:rsidRPr="00D439F7" w:rsidRDefault="00F40391" w:rsidP="00D439F7">
            <w:pPr>
              <w:keepNext/>
              <w:keepLines/>
              <w:autoSpaceDE w:val="0"/>
              <w:autoSpaceDN w:val="0"/>
              <w:adjustRightInd w:val="0"/>
              <w:rPr>
                <w:rFonts w:ascii="Arial" w:hAnsi="Arial" w:cs="Arial"/>
                <w:sz w:val="20"/>
                <w:szCs w:val="20"/>
              </w:rPr>
            </w:pPr>
            <w:r w:rsidRPr="00D439F7">
              <w:rPr>
                <w:rFonts w:ascii="Arial" w:hAnsi="Arial" w:cs="Arial"/>
                <w:sz w:val="20"/>
                <w:szCs w:val="20"/>
              </w:rPr>
              <w:t>Village of Iola</w:t>
            </w:r>
          </w:p>
          <w:p w:rsidR="00F40391" w:rsidRPr="00D439F7" w:rsidRDefault="00F40391" w:rsidP="00D439F7">
            <w:pPr>
              <w:keepNext/>
              <w:keepLines/>
              <w:autoSpaceDE w:val="0"/>
              <w:autoSpaceDN w:val="0"/>
              <w:adjustRightInd w:val="0"/>
              <w:rPr>
                <w:rFonts w:ascii="Arial" w:hAnsi="Arial" w:cs="Arial"/>
                <w:sz w:val="20"/>
                <w:szCs w:val="20"/>
              </w:rPr>
            </w:pPr>
            <w:r w:rsidRPr="00D439F7">
              <w:rPr>
                <w:rFonts w:ascii="Arial" w:hAnsi="Arial" w:cs="Arial"/>
                <w:sz w:val="20"/>
                <w:szCs w:val="20"/>
              </w:rPr>
              <w:t xml:space="preserve">WDNR BRRTS Nos. </w:t>
            </w:r>
          </w:p>
          <w:p w:rsidR="00F40391" w:rsidRPr="00D439F7" w:rsidRDefault="00F40391" w:rsidP="00D439F7">
            <w:pPr>
              <w:keepNext/>
              <w:keepLines/>
              <w:numPr>
                <w:ilvl w:val="0"/>
                <w:numId w:val="14"/>
              </w:numPr>
              <w:autoSpaceDE w:val="0"/>
              <w:autoSpaceDN w:val="0"/>
              <w:adjustRightInd w:val="0"/>
              <w:ind w:left="336" w:hanging="180"/>
              <w:contextualSpacing/>
              <w:rPr>
                <w:rFonts w:ascii="Arial" w:hAnsi="Arial" w:cs="Arial"/>
                <w:sz w:val="20"/>
                <w:szCs w:val="20"/>
              </w:rPr>
            </w:pPr>
            <w:r w:rsidRPr="00D439F7">
              <w:rPr>
                <w:rFonts w:ascii="Arial" w:hAnsi="Arial" w:cs="Arial"/>
                <w:sz w:val="20"/>
                <w:szCs w:val="20"/>
              </w:rPr>
              <w:t>03-69-000158</w:t>
            </w:r>
          </w:p>
          <w:p w:rsidR="00F40391" w:rsidRPr="00D439F7" w:rsidRDefault="00F40391" w:rsidP="00D439F7">
            <w:pPr>
              <w:keepNext/>
              <w:keepLines/>
              <w:numPr>
                <w:ilvl w:val="0"/>
                <w:numId w:val="14"/>
              </w:numPr>
              <w:autoSpaceDE w:val="0"/>
              <w:autoSpaceDN w:val="0"/>
              <w:adjustRightInd w:val="0"/>
              <w:ind w:left="336" w:hanging="180"/>
              <w:contextualSpacing/>
              <w:rPr>
                <w:rFonts w:ascii="Arial" w:hAnsi="Arial" w:cs="Arial"/>
                <w:sz w:val="20"/>
                <w:szCs w:val="20"/>
              </w:rPr>
            </w:pPr>
            <w:r w:rsidRPr="00D439F7">
              <w:rPr>
                <w:rFonts w:ascii="Arial" w:hAnsi="Arial" w:cs="Arial"/>
                <w:sz w:val="20"/>
                <w:szCs w:val="20"/>
              </w:rPr>
              <w:t>03-69-560325</w:t>
            </w:r>
          </w:p>
          <w:p w:rsidR="00F40391" w:rsidRPr="00D439F7" w:rsidRDefault="00F40391" w:rsidP="00D439F7">
            <w:pPr>
              <w:keepNext/>
              <w:keepLines/>
              <w:numPr>
                <w:ilvl w:val="0"/>
                <w:numId w:val="14"/>
              </w:numPr>
              <w:autoSpaceDE w:val="0"/>
              <w:autoSpaceDN w:val="0"/>
              <w:adjustRightInd w:val="0"/>
              <w:ind w:left="336" w:hanging="180"/>
              <w:contextualSpacing/>
              <w:rPr>
                <w:rFonts w:ascii="Arial" w:hAnsi="Arial" w:cs="Arial"/>
                <w:sz w:val="20"/>
                <w:szCs w:val="20"/>
              </w:rPr>
            </w:pPr>
            <w:r w:rsidRPr="00D439F7">
              <w:rPr>
                <w:rFonts w:ascii="Arial" w:hAnsi="Arial" w:cs="Arial"/>
                <w:sz w:val="20"/>
                <w:szCs w:val="20"/>
              </w:rPr>
              <w:t>03-69-556879</w:t>
            </w:r>
          </w:p>
        </w:tc>
        <w:tc>
          <w:tcPr>
            <w:tcW w:w="6030" w:type="dxa"/>
          </w:tcPr>
          <w:p w:rsidR="00F40391" w:rsidRPr="00D439F7" w:rsidRDefault="00F40391" w:rsidP="00D439F7">
            <w:pPr>
              <w:keepNext/>
              <w:keepLines/>
              <w:rPr>
                <w:rFonts w:ascii="Arial" w:hAnsi="Arial" w:cs="Arial"/>
                <w:sz w:val="20"/>
                <w:szCs w:val="20"/>
              </w:rPr>
            </w:pPr>
            <w:r w:rsidRPr="00D439F7">
              <w:rPr>
                <w:rFonts w:ascii="Arial" w:hAnsi="Arial" w:cs="Arial"/>
                <w:sz w:val="20"/>
                <w:szCs w:val="20"/>
              </w:rPr>
              <w:t>Contamination Beyond Construction Limits:    STH 49 Station 7+33 to Station 9+66, project limit Left of reference line and beyond.  Petroleum contaminated soil and groundwater exceeding NR 720 and NR 140 regulatory standards for soil and groundwater, respectively, are present.  Depth to groundwater is approximately 6 feet below existing grade.</w:t>
            </w:r>
          </w:p>
          <w:p w:rsidR="00F40391" w:rsidRPr="00D439F7" w:rsidRDefault="00F40391" w:rsidP="00D439F7">
            <w:pPr>
              <w:keepNext/>
              <w:keepLines/>
              <w:rPr>
                <w:rFonts w:ascii="Arial" w:hAnsi="Arial" w:cs="Arial"/>
                <w:sz w:val="20"/>
                <w:szCs w:val="20"/>
              </w:rPr>
            </w:pPr>
          </w:p>
          <w:p w:rsidR="00F40391" w:rsidRPr="00D439F7" w:rsidRDefault="00F40391" w:rsidP="00D439F7">
            <w:pPr>
              <w:keepNext/>
              <w:keepLines/>
              <w:rPr>
                <w:rFonts w:ascii="Arial" w:hAnsi="Arial" w:cs="Arial"/>
                <w:sz w:val="20"/>
                <w:szCs w:val="20"/>
              </w:rPr>
            </w:pPr>
          </w:p>
        </w:tc>
      </w:tr>
      <w:tr w:rsidR="00F40391" w:rsidRPr="00D439F7" w:rsidTr="00D439F7">
        <w:trPr>
          <w:cantSplit/>
          <w:trHeight w:val="1856"/>
          <w:tblHeader/>
        </w:trPr>
        <w:tc>
          <w:tcPr>
            <w:tcW w:w="3582" w:type="dxa"/>
          </w:tcPr>
          <w:p w:rsidR="00F40391" w:rsidRPr="00D439F7" w:rsidRDefault="00F40391" w:rsidP="00D439F7">
            <w:pPr>
              <w:keepNext/>
              <w:keepLines/>
              <w:autoSpaceDE w:val="0"/>
              <w:autoSpaceDN w:val="0"/>
              <w:adjustRightInd w:val="0"/>
              <w:rPr>
                <w:rFonts w:ascii="Arial" w:hAnsi="Arial" w:cs="Arial"/>
                <w:sz w:val="20"/>
                <w:szCs w:val="20"/>
              </w:rPr>
            </w:pPr>
            <w:r w:rsidRPr="00D439F7">
              <w:rPr>
                <w:rFonts w:ascii="Arial" w:hAnsi="Arial" w:cs="Arial"/>
                <w:sz w:val="20"/>
                <w:szCs w:val="20"/>
              </w:rPr>
              <w:t>Former Iola Mill</w:t>
            </w:r>
          </w:p>
          <w:p w:rsidR="00F40391" w:rsidRPr="00D439F7" w:rsidRDefault="00F40391" w:rsidP="00D439F7">
            <w:pPr>
              <w:keepNext/>
              <w:keepLines/>
              <w:autoSpaceDE w:val="0"/>
              <w:autoSpaceDN w:val="0"/>
              <w:adjustRightInd w:val="0"/>
              <w:rPr>
                <w:rFonts w:ascii="Arial" w:hAnsi="Arial" w:cs="Arial"/>
                <w:sz w:val="20"/>
                <w:szCs w:val="20"/>
              </w:rPr>
            </w:pPr>
            <w:r w:rsidRPr="00D439F7">
              <w:rPr>
                <w:rFonts w:ascii="Arial" w:hAnsi="Arial" w:cs="Arial"/>
                <w:sz w:val="20"/>
                <w:szCs w:val="20"/>
              </w:rPr>
              <w:t>300 N. Main Street</w:t>
            </w:r>
          </w:p>
          <w:p w:rsidR="00F40391" w:rsidRPr="00D439F7" w:rsidRDefault="00F40391" w:rsidP="00D439F7">
            <w:pPr>
              <w:keepNext/>
              <w:keepLines/>
              <w:autoSpaceDE w:val="0"/>
              <w:autoSpaceDN w:val="0"/>
              <w:adjustRightInd w:val="0"/>
              <w:rPr>
                <w:rFonts w:ascii="Arial" w:hAnsi="Arial" w:cs="Arial"/>
                <w:sz w:val="20"/>
                <w:szCs w:val="20"/>
              </w:rPr>
            </w:pPr>
            <w:r w:rsidRPr="00D439F7">
              <w:rPr>
                <w:rFonts w:ascii="Arial" w:hAnsi="Arial" w:cs="Arial"/>
                <w:sz w:val="20"/>
                <w:szCs w:val="20"/>
              </w:rPr>
              <w:t>Village of Iola</w:t>
            </w:r>
          </w:p>
          <w:p w:rsidR="00F40391" w:rsidRPr="00D439F7" w:rsidRDefault="00F40391" w:rsidP="00D439F7">
            <w:pPr>
              <w:keepNext/>
              <w:keepLines/>
              <w:autoSpaceDE w:val="0"/>
              <w:autoSpaceDN w:val="0"/>
              <w:adjustRightInd w:val="0"/>
              <w:rPr>
                <w:rFonts w:ascii="Arial" w:hAnsi="Arial" w:cs="Arial"/>
                <w:sz w:val="20"/>
                <w:szCs w:val="20"/>
              </w:rPr>
            </w:pPr>
            <w:r w:rsidRPr="00D439F7">
              <w:rPr>
                <w:rFonts w:ascii="Arial" w:hAnsi="Arial" w:cs="Arial"/>
                <w:sz w:val="20"/>
                <w:szCs w:val="20"/>
              </w:rPr>
              <w:t>WDNR BRRTS No. 02-69-582812</w:t>
            </w:r>
          </w:p>
          <w:p w:rsidR="00F40391" w:rsidRPr="00D439F7" w:rsidRDefault="00F40391" w:rsidP="00D439F7">
            <w:pPr>
              <w:keepNext/>
              <w:keepLines/>
              <w:rPr>
                <w:rFonts w:ascii="Arial" w:hAnsi="Arial" w:cs="Arial"/>
                <w:sz w:val="20"/>
                <w:szCs w:val="20"/>
              </w:rPr>
            </w:pPr>
          </w:p>
        </w:tc>
        <w:tc>
          <w:tcPr>
            <w:tcW w:w="6030" w:type="dxa"/>
          </w:tcPr>
          <w:p w:rsidR="00F40391" w:rsidRPr="00D439F7" w:rsidRDefault="00F40391" w:rsidP="00D439F7">
            <w:pPr>
              <w:keepNext/>
              <w:keepLines/>
              <w:rPr>
                <w:rFonts w:ascii="Arial" w:hAnsi="Arial" w:cs="Arial"/>
                <w:sz w:val="20"/>
                <w:szCs w:val="20"/>
              </w:rPr>
            </w:pPr>
            <w:r w:rsidRPr="00D439F7">
              <w:rPr>
                <w:rFonts w:ascii="Arial" w:hAnsi="Arial" w:cs="Arial"/>
                <w:sz w:val="20"/>
                <w:szCs w:val="20"/>
              </w:rPr>
              <w:t>Contaminated Soil Within Construction Limits:  STH 49 Station 10+25 to Station 10+50, from approximately 20 to 45 feet right of the reference line, to an approximate depth of 7 feet below existing grade.  Lead contaminated soil exceeding the NR 720 Residual Contaminant Level for the soil-to groundwater pathway (RCL-</w:t>
            </w:r>
            <w:proofErr w:type="spellStart"/>
            <w:r w:rsidRPr="00D439F7">
              <w:rPr>
                <w:rFonts w:ascii="Arial" w:hAnsi="Arial" w:cs="Arial"/>
                <w:sz w:val="20"/>
                <w:szCs w:val="20"/>
              </w:rPr>
              <w:t>gw</w:t>
            </w:r>
            <w:proofErr w:type="spellEnd"/>
            <w:r w:rsidRPr="00D439F7">
              <w:rPr>
                <w:rFonts w:ascii="Arial" w:hAnsi="Arial" w:cs="Arial"/>
                <w:sz w:val="20"/>
                <w:szCs w:val="20"/>
              </w:rPr>
              <w:t>) was detected in soil at levels up to 106 milligrams per kilogram (mg/kg).  Depth to groundwater is approximately 8 feet below existing grade.  Groundwater is not impacted by contaminants.</w:t>
            </w:r>
          </w:p>
          <w:p w:rsidR="00F40391" w:rsidRPr="00D439F7" w:rsidRDefault="00F40391" w:rsidP="00D439F7">
            <w:pPr>
              <w:keepNext/>
              <w:keepLines/>
              <w:rPr>
                <w:rFonts w:ascii="Arial" w:hAnsi="Arial" w:cs="Arial"/>
                <w:sz w:val="20"/>
                <w:szCs w:val="20"/>
              </w:rPr>
            </w:pPr>
          </w:p>
        </w:tc>
      </w:tr>
    </w:tbl>
    <w:p w:rsidR="00F40391" w:rsidRPr="00F40391" w:rsidRDefault="00F40391" w:rsidP="00D439F7">
      <w:pPr>
        <w:spacing w:before="0" w:after="0"/>
        <w:rPr>
          <w:rFonts w:cs="Arial"/>
        </w:rPr>
      </w:pPr>
    </w:p>
    <w:p w:rsidR="00F40391" w:rsidRPr="00F40391" w:rsidRDefault="00F40391" w:rsidP="00D439F7">
      <w:pPr>
        <w:spacing w:before="0" w:after="0"/>
        <w:rPr>
          <w:rFonts w:cs="Arial"/>
        </w:rPr>
      </w:pPr>
      <w:r w:rsidRPr="00F40391">
        <w:rPr>
          <w:rFonts w:cs="Arial"/>
        </w:rPr>
        <w:t xml:space="preserve">For further information regarding approval of the soil and groundwater management methods or to obtain a copy of the various hazardous materials investigation reports for this project, contact one of the following persons: </w:t>
      </w:r>
    </w:p>
    <w:p w:rsidR="00F40391" w:rsidRPr="00F40391" w:rsidRDefault="00F40391" w:rsidP="00D439F7">
      <w:pPr>
        <w:spacing w:before="0" w:after="0"/>
        <w:ind w:left="720" w:hanging="720"/>
        <w:rPr>
          <w:rFonts w:cs="Arial"/>
        </w:rPr>
      </w:pPr>
    </w:p>
    <w:p w:rsidR="00F40391" w:rsidRPr="00F40391" w:rsidRDefault="00F40391" w:rsidP="00D439F7">
      <w:pPr>
        <w:spacing w:before="0" w:after="0"/>
        <w:ind w:left="720" w:hanging="720"/>
        <w:rPr>
          <w:rFonts w:cs="Arial"/>
        </w:rPr>
      </w:pPr>
      <w:r w:rsidRPr="00F40391">
        <w:rPr>
          <w:rFonts w:cs="Arial"/>
        </w:rPr>
        <w:t>Greer Lundquist</w:t>
      </w:r>
    </w:p>
    <w:p w:rsidR="00F40391" w:rsidRPr="00F40391" w:rsidRDefault="00F40391" w:rsidP="00D439F7">
      <w:pPr>
        <w:spacing w:before="0" w:after="0"/>
        <w:ind w:left="720" w:hanging="720"/>
        <w:rPr>
          <w:rFonts w:cs="Arial"/>
        </w:rPr>
      </w:pPr>
      <w:r w:rsidRPr="00F40391">
        <w:rPr>
          <w:rFonts w:cs="Arial"/>
        </w:rPr>
        <w:t>Regional Environmental Coordinator</w:t>
      </w:r>
    </w:p>
    <w:p w:rsidR="00F40391" w:rsidRPr="00F40391" w:rsidRDefault="00F40391" w:rsidP="00D439F7">
      <w:pPr>
        <w:spacing w:before="0" w:after="0"/>
        <w:ind w:left="720" w:hanging="720"/>
        <w:rPr>
          <w:rFonts w:cs="Arial"/>
        </w:rPr>
      </w:pPr>
      <w:r w:rsidRPr="00F40391">
        <w:rPr>
          <w:rFonts w:cs="Arial"/>
        </w:rPr>
        <w:t>Wisconsin Department of Transportation – North Central Region</w:t>
      </w:r>
    </w:p>
    <w:p w:rsidR="00F40391" w:rsidRPr="00F40391" w:rsidRDefault="00F40391" w:rsidP="00D439F7">
      <w:pPr>
        <w:autoSpaceDE w:val="0"/>
        <w:autoSpaceDN w:val="0"/>
        <w:spacing w:before="0" w:after="0"/>
        <w:ind w:left="720" w:hanging="720"/>
        <w:rPr>
          <w:rFonts w:cs="Arial"/>
          <w:color w:val="212121"/>
          <w:sz w:val="22"/>
          <w:szCs w:val="22"/>
        </w:rPr>
      </w:pPr>
      <w:r w:rsidRPr="00F40391">
        <w:rPr>
          <w:rFonts w:cs="Arial"/>
          <w:color w:val="000000"/>
        </w:rPr>
        <w:t xml:space="preserve">510 Hanson Lake Rd. </w:t>
      </w:r>
    </w:p>
    <w:p w:rsidR="00F40391" w:rsidRPr="00F40391" w:rsidRDefault="00F40391" w:rsidP="00D439F7">
      <w:pPr>
        <w:autoSpaceDE w:val="0"/>
        <w:autoSpaceDN w:val="0"/>
        <w:spacing w:before="0" w:after="0"/>
        <w:ind w:left="720" w:hanging="720"/>
        <w:rPr>
          <w:rFonts w:cs="Arial"/>
          <w:color w:val="212121"/>
          <w:sz w:val="24"/>
          <w:szCs w:val="24"/>
        </w:rPr>
      </w:pPr>
      <w:r w:rsidRPr="00F40391">
        <w:rPr>
          <w:rFonts w:cs="Arial"/>
          <w:color w:val="000000"/>
        </w:rPr>
        <w:t>Rhinelander, WI 54501</w:t>
      </w:r>
    </w:p>
    <w:p w:rsidR="00F40391" w:rsidRPr="00F40391" w:rsidRDefault="00F40391" w:rsidP="00D439F7">
      <w:pPr>
        <w:spacing w:before="0" w:after="0" w:line="240" w:lineRule="exact"/>
        <w:ind w:left="720" w:hanging="720"/>
        <w:rPr>
          <w:rFonts w:cs="Arial"/>
        </w:rPr>
      </w:pPr>
      <w:r w:rsidRPr="00F40391">
        <w:rPr>
          <w:rFonts w:cs="Arial"/>
        </w:rPr>
        <w:t>Telephone: (715) 365-5758</w:t>
      </w:r>
    </w:p>
    <w:p w:rsidR="00F40391" w:rsidRPr="00F40391" w:rsidRDefault="00F40391" w:rsidP="00D439F7">
      <w:pPr>
        <w:spacing w:before="0" w:after="0"/>
        <w:ind w:left="720" w:hanging="720"/>
        <w:rPr>
          <w:rFonts w:cs="Arial"/>
        </w:rPr>
      </w:pPr>
      <w:r w:rsidRPr="00F40391">
        <w:rPr>
          <w:rFonts w:cs="Arial"/>
        </w:rPr>
        <w:t xml:space="preserve">Email:  </w:t>
      </w:r>
      <w:r w:rsidRPr="00F40391">
        <w:rPr>
          <w:rFonts w:cs="Arial"/>
          <w:color w:val="0000FF" w:themeColor="hyperlink"/>
          <w:u w:val="single"/>
        </w:rPr>
        <w:t>greer2.lundquist@dot.wi.gov</w:t>
      </w:r>
    </w:p>
    <w:p w:rsidR="00F40391" w:rsidRPr="00F40391" w:rsidRDefault="00F40391" w:rsidP="00D439F7">
      <w:pPr>
        <w:spacing w:before="0" w:after="0"/>
        <w:ind w:left="720" w:hanging="720"/>
        <w:rPr>
          <w:rFonts w:cs="Arial"/>
        </w:rPr>
      </w:pPr>
    </w:p>
    <w:p w:rsidR="00F40391" w:rsidRPr="00F40391" w:rsidRDefault="00F40391" w:rsidP="00D439F7">
      <w:pPr>
        <w:spacing w:before="0" w:after="0"/>
        <w:ind w:left="720" w:hanging="720"/>
        <w:rPr>
          <w:rFonts w:cs="Arial"/>
        </w:rPr>
      </w:pPr>
      <w:r w:rsidRPr="00F40391">
        <w:rPr>
          <w:rFonts w:cs="Arial"/>
        </w:rPr>
        <w:t>Kyle Wagoner</w:t>
      </w:r>
    </w:p>
    <w:p w:rsidR="00F40391" w:rsidRPr="00F40391" w:rsidRDefault="00F40391" w:rsidP="00D439F7">
      <w:pPr>
        <w:spacing w:before="0" w:after="0"/>
        <w:ind w:left="720" w:hanging="720"/>
        <w:rPr>
          <w:rFonts w:cs="Arial"/>
        </w:rPr>
      </w:pPr>
      <w:r w:rsidRPr="00F40391">
        <w:rPr>
          <w:rFonts w:cs="Arial"/>
        </w:rPr>
        <w:t>AECOM Technical Services, Inc.</w:t>
      </w:r>
    </w:p>
    <w:p w:rsidR="00F40391" w:rsidRPr="00F40391" w:rsidRDefault="00F40391" w:rsidP="00D439F7">
      <w:pPr>
        <w:spacing w:before="0" w:after="0"/>
        <w:ind w:left="720" w:hanging="720"/>
        <w:rPr>
          <w:rFonts w:cs="Arial"/>
        </w:rPr>
      </w:pPr>
      <w:r w:rsidRPr="00F40391">
        <w:rPr>
          <w:rFonts w:cs="Arial"/>
        </w:rPr>
        <w:t>200 Indiana Avenue</w:t>
      </w:r>
    </w:p>
    <w:p w:rsidR="00F40391" w:rsidRPr="00F40391" w:rsidRDefault="00F40391" w:rsidP="00D439F7">
      <w:pPr>
        <w:spacing w:before="0" w:after="0"/>
        <w:ind w:left="720" w:hanging="720"/>
        <w:rPr>
          <w:rFonts w:cs="Arial"/>
        </w:rPr>
      </w:pPr>
      <w:r w:rsidRPr="00F40391">
        <w:rPr>
          <w:rFonts w:cs="Arial"/>
        </w:rPr>
        <w:t>Stevens Point, WI  54481</w:t>
      </w:r>
    </w:p>
    <w:p w:rsidR="00F40391" w:rsidRPr="00F40391" w:rsidRDefault="00F40391" w:rsidP="00D439F7">
      <w:pPr>
        <w:spacing w:before="0" w:after="0"/>
        <w:ind w:left="720" w:hanging="720"/>
        <w:rPr>
          <w:rFonts w:cs="Arial"/>
        </w:rPr>
      </w:pPr>
      <w:r w:rsidRPr="00F40391">
        <w:rPr>
          <w:rFonts w:cs="Arial"/>
        </w:rPr>
        <w:t>Telephone: (715) 342-3038</w:t>
      </w:r>
    </w:p>
    <w:p w:rsidR="00F40391" w:rsidRPr="00F40391" w:rsidRDefault="00F40391" w:rsidP="00D439F7">
      <w:pPr>
        <w:spacing w:before="0" w:after="0"/>
        <w:ind w:left="720" w:hanging="720"/>
        <w:rPr>
          <w:rFonts w:cs="Arial"/>
        </w:rPr>
      </w:pPr>
      <w:r w:rsidRPr="00F40391">
        <w:rPr>
          <w:rFonts w:cs="Arial"/>
        </w:rPr>
        <w:t xml:space="preserve">Email:  </w:t>
      </w:r>
      <w:hyperlink r:id="rId12" w:history="1">
        <w:r w:rsidRPr="00F40391">
          <w:rPr>
            <w:rFonts w:cs="Arial"/>
            <w:color w:val="0000FF" w:themeColor="hyperlink"/>
            <w:u w:val="single"/>
          </w:rPr>
          <w:t>kyle.wagoner@aecom.com</w:t>
        </w:r>
      </w:hyperlink>
    </w:p>
    <w:p w:rsidR="001D16BE" w:rsidRPr="008B0762" w:rsidRDefault="001D16BE" w:rsidP="00D439F7">
      <w:pPr>
        <w:pStyle w:val="1Heading1"/>
        <w:numPr>
          <w:ilvl w:val="0"/>
          <w:numId w:val="1"/>
        </w:numPr>
        <w:ind w:left="0" w:hanging="720"/>
      </w:pPr>
      <w:bookmarkStart w:id="20" w:name="_Toc23400016"/>
      <w:r w:rsidRPr="008B0762">
        <w:t>Environmental Protection, Aquatic Exotic Species Control.</w:t>
      </w:r>
      <w:bookmarkEnd w:id="20"/>
    </w:p>
    <w:p w:rsidR="001D16BE" w:rsidRDefault="001D16BE" w:rsidP="00D439F7">
      <w:pPr>
        <w:pStyle w:val="spParagraph"/>
      </w:pPr>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1D16BE" w:rsidRDefault="001D16BE" w:rsidP="00D439F7">
      <w:pPr>
        <w:pStyle w:val="spParagraph"/>
      </w:pPr>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1D16BE" w:rsidRDefault="001D16BE" w:rsidP="00D439F7">
      <w:pPr>
        <w:pStyle w:val="spParagraph"/>
      </w:pPr>
      <w:r>
        <w:t>Ensure that all equipment that has been in contact with waters of the state, or with infested or potentially infested waters, has been decontaminated for aquatic plant materials and zebra mussels before being used in other waters of the state. Before using equipment on this project, thoroughly disinfect all equipment that has come into contact with potentially infested waters. Guidelines from the Wisconsin Department of Natural Resources for disinfection are available at:</w:t>
      </w:r>
    </w:p>
    <w:p w:rsidR="001D16BE" w:rsidRPr="006E5990" w:rsidRDefault="0049548F" w:rsidP="00D439F7">
      <w:pPr>
        <w:pStyle w:val="spParagraph"/>
        <w:spacing w:before="60" w:after="60"/>
        <w:rPr>
          <w:rFonts w:cs="Arial"/>
        </w:rPr>
      </w:pPr>
      <w:hyperlink r:id="rId13" w:history="1">
        <w:r w:rsidR="001D16BE" w:rsidRPr="006E5990">
          <w:rPr>
            <w:rStyle w:val="Hyperlink"/>
            <w:rFonts w:cs="Arial"/>
          </w:rPr>
          <w:t>http://dnr.wi.gov/topic/invasives/disinfection.html</w:t>
        </w:r>
      </w:hyperlink>
    </w:p>
    <w:p w:rsidR="001D16BE" w:rsidRPr="00012CEE" w:rsidRDefault="001D16BE" w:rsidP="00D439F7">
      <w:pPr>
        <w:pStyle w:val="spParagraph"/>
        <w:rPr>
          <w:szCs w:val="20"/>
        </w:rPr>
      </w:pPr>
      <w:r w:rsidRPr="00012CEE">
        <w:rPr>
          <w:szCs w:val="20"/>
        </w:rPr>
        <w:t>Use the following inspection and removal procedures:</w:t>
      </w:r>
    </w:p>
    <w:p w:rsidR="001D16BE" w:rsidRPr="00012CEE" w:rsidRDefault="001D16BE" w:rsidP="00D439F7">
      <w:pPr>
        <w:pStyle w:val="spNumList1"/>
        <w:rPr>
          <w:sz w:val="20"/>
        </w:rPr>
      </w:pPr>
      <w:r w:rsidRPr="00012CEE">
        <w:rPr>
          <w:sz w:val="20"/>
        </w:rPr>
        <w:lastRenderedPageBreak/>
        <w:t>1.</w:t>
      </w:r>
      <w:r w:rsidRPr="00012CEE">
        <w:rPr>
          <w:sz w:val="20"/>
        </w:rPr>
        <w:tab/>
        <w:t>Before leaving the contaminated site, wash machinery and ensure that the machinery is free of all soil and other substances that could possibly contain exotic invasive species;</w:t>
      </w:r>
    </w:p>
    <w:p w:rsidR="001D16BE" w:rsidRPr="00012CEE" w:rsidRDefault="001D16BE" w:rsidP="00D439F7">
      <w:pPr>
        <w:pStyle w:val="spNumList1"/>
        <w:rPr>
          <w:sz w:val="20"/>
        </w:rPr>
      </w:pPr>
      <w:r w:rsidRPr="00012CEE">
        <w:rPr>
          <w:sz w:val="20"/>
        </w:rPr>
        <w:t>2.</w:t>
      </w:r>
      <w:r w:rsidRPr="00012CEE">
        <w:rPr>
          <w:sz w:val="20"/>
        </w:rPr>
        <w:tab/>
        <w:t>Drain all water from boats, trailers, bilges, live wells, coolers, bait buckets, engine compartments, and any other area where water may be trapped;</w:t>
      </w:r>
    </w:p>
    <w:p w:rsidR="001D16BE" w:rsidRPr="00012CEE" w:rsidRDefault="001D16BE" w:rsidP="00D439F7">
      <w:pPr>
        <w:pStyle w:val="spNumList1"/>
        <w:rPr>
          <w:sz w:val="20"/>
        </w:rPr>
      </w:pPr>
      <w:r w:rsidRPr="00012CEE">
        <w:rPr>
          <w:sz w:val="20"/>
        </w:rPr>
        <w:t>3.</w:t>
      </w:r>
      <w:r w:rsidRPr="00012CEE">
        <w:rPr>
          <w:sz w:val="20"/>
        </w:rPr>
        <w:tab/>
        <w:t>Inspect boat hulls, propellers, trailers and other surfaces. Scrape off any attached mussels, remove any aquatic plant materials (fragments, stems, leaves, seeds, or roots), and dispose of removed mussels and plant materials in a garbage can before leaving the area or invested waters; and</w:t>
      </w:r>
    </w:p>
    <w:p w:rsidR="001D16BE" w:rsidRPr="00012CEE" w:rsidRDefault="001D16BE" w:rsidP="00D439F7">
      <w:pPr>
        <w:pStyle w:val="spNumList1"/>
        <w:rPr>
          <w:sz w:val="20"/>
        </w:rPr>
      </w:pPr>
      <w:r w:rsidRPr="00012CEE">
        <w:rPr>
          <w:sz w:val="20"/>
        </w:rPr>
        <w:t>4.</w:t>
      </w:r>
      <w:r w:rsidRPr="00012CEE">
        <w:rPr>
          <w:sz w:val="20"/>
        </w:rPr>
        <w:tab/>
        <w:t>Disinfect your boat, equipment and gear by either:</w:t>
      </w:r>
    </w:p>
    <w:p w:rsidR="001D16BE" w:rsidRPr="00012CEE" w:rsidRDefault="001D16BE" w:rsidP="00D439F7">
      <w:pPr>
        <w:pStyle w:val="spNumList2"/>
        <w:rPr>
          <w:sz w:val="20"/>
        </w:rPr>
      </w:pPr>
      <w:r w:rsidRPr="00012CEE">
        <w:rPr>
          <w:sz w:val="20"/>
        </w:rPr>
        <w:t>4.1.</w:t>
      </w:r>
      <w:r w:rsidRPr="00012CEE">
        <w:rPr>
          <w:sz w:val="20"/>
        </w:rPr>
        <w:tab/>
        <w:t>Washing with ~212 F water (steam clean), or</w:t>
      </w:r>
    </w:p>
    <w:p w:rsidR="001D16BE" w:rsidRPr="00012CEE" w:rsidRDefault="001D16BE" w:rsidP="00D439F7">
      <w:pPr>
        <w:pStyle w:val="spNumList2"/>
        <w:rPr>
          <w:sz w:val="20"/>
        </w:rPr>
      </w:pPr>
      <w:r w:rsidRPr="00012CEE">
        <w:rPr>
          <w:sz w:val="20"/>
        </w:rPr>
        <w:t>4.2.</w:t>
      </w:r>
      <w:r w:rsidRPr="00012CEE">
        <w:rPr>
          <w:sz w:val="20"/>
        </w:rPr>
        <w:tab/>
        <w:t xml:space="preserve">Drying thoroughly for five days after cleaning with soap and water and/or </w:t>
      </w:r>
      <w:proofErr w:type="gramStart"/>
      <w:r w:rsidRPr="00012CEE">
        <w:rPr>
          <w:sz w:val="20"/>
        </w:rPr>
        <w:t>high pressure</w:t>
      </w:r>
      <w:proofErr w:type="gramEnd"/>
      <w:r w:rsidRPr="00012CEE">
        <w:rPr>
          <w:sz w:val="20"/>
        </w:rPr>
        <w:t xml:space="preserve"> water, or</w:t>
      </w:r>
    </w:p>
    <w:p w:rsidR="001D16BE" w:rsidRPr="00012CEE" w:rsidRDefault="001D16BE" w:rsidP="00D439F7">
      <w:pPr>
        <w:pStyle w:val="spNumList2"/>
        <w:rPr>
          <w:sz w:val="20"/>
        </w:rPr>
      </w:pPr>
      <w:r w:rsidRPr="00012CEE">
        <w:rPr>
          <w:sz w:val="20"/>
        </w:rPr>
        <w:t>4.3.</w:t>
      </w:r>
      <w:r w:rsidRPr="00012CEE">
        <w:rPr>
          <w:sz w:val="20"/>
        </w:rPr>
        <w:tab/>
        <w:t xml:space="preserve">Disinfecting with either 200 ppm (0.5 oz per gallon or 1 Tablespoon per gallon) Chlorine for 10-minute contact time or 1:100 solution (38 grams per gallon) of </w:t>
      </w:r>
      <w:proofErr w:type="spellStart"/>
      <w:r w:rsidRPr="00012CEE">
        <w:rPr>
          <w:sz w:val="20"/>
        </w:rPr>
        <w:t>Virkon</w:t>
      </w:r>
      <w:proofErr w:type="spellEnd"/>
      <w:r w:rsidRPr="00012CEE">
        <w:rPr>
          <w:sz w:val="20"/>
        </w:rPr>
        <w:t xml:space="preserve"> Aquatic for 20- to 30-minute contact time. Note: </w:t>
      </w:r>
      <w:proofErr w:type="spellStart"/>
      <w:r w:rsidRPr="00012CEE">
        <w:rPr>
          <w:sz w:val="20"/>
        </w:rPr>
        <w:t>Virkon</w:t>
      </w:r>
      <w:proofErr w:type="spellEnd"/>
      <w:r w:rsidRPr="00012CEE">
        <w:rPr>
          <w:sz w:val="20"/>
        </w:rPr>
        <w:t xml:space="preserve"> is not registered to kill zebra mussel </w:t>
      </w:r>
      <w:proofErr w:type="spellStart"/>
      <w:r w:rsidRPr="00012CEE">
        <w:rPr>
          <w:sz w:val="20"/>
        </w:rPr>
        <w:t>veligers</w:t>
      </w:r>
      <w:proofErr w:type="spellEnd"/>
      <w:r w:rsidRPr="00012CEE">
        <w:rPr>
          <w:sz w:val="20"/>
        </w:rPr>
        <w:t xml:space="preserve"> nor invertebrates like spiny water flea. </w:t>
      </w:r>
      <w:proofErr w:type="gramStart"/>
      <w:r w:rsidRPr="00012CEE">
        <w:rPr>
          <w:sz w:val="20"/>
        </w:rPr>
        <w:t>Therefore</w:t>
      </w:r>
      <w:proofErr w:type="gramEnd"/>
      <w:r w:rsidRPr="00012CEE">
        <w:rPr>
          <w:sz w:val="20"/>
        </w:rPr>
        <w:t xml:space="preserve"> this disinfect should be used in conjunction with a hot water (&gt;104º F) application.</w:t>
      </w:r>
    </w:p>
    <w:p w:rsidR="001D16BE" w:rsidRPr="00012CEE" w:rsidRDefault="001D16BE" w:rsidP="00D439F7">
      <w:pPr>
        <w:pStyle w:val="spParagraph"/>
        <w:rPr>
          <w:szCs w:val="20"/>
        </w:rPr>
      </w:pPr>
      <w:r w:rsidRPr="00012CEE">
        <w:rPr>
          <w:szCs w:val="20"/>
        </w:rPr>
        <w:t>Complete the inspection and removal procedure before equipment is brought to the project site and before the equipment leaves the project site.</w:t>
      </w:r>
    </w:p>
    <w:p w:rsidR="001D16BE" w:rsidRPr="00CB3813" w:rsidRDefault="001D16BE" w:rsidP="00D439F7">
      <w:pPr>
        <w:pStyle w:val="spVersion"/>
        <w:rPr>
          <w:szCs w:val="18"/>
        </w:rPr>
      </w:pPr>
      <w:r w:rsidRPr="00CB3813">
        <w:rPr>
          <w:szCs w:val="18"/>
        </w:rPr>
        <w:t>stp-107-055 (20130615)</w:t>
      </w:r>
    </w:p>
    <w:p w:rsidR="00584CB5" w:rsidRPr="00BB2F2F" w:rsidRDefault="00584CB5" w:rsidP="00D439F7">
      <w:pPr>
        <w:pStyle w:val="1Heading1"/>
        <w:numPr>
          <w:ilvl w:val="0"/>
          <w:numId w:val="1"/>
        </w:numPr>
        <w:ind w:left="0" w:hanging="720"/>
        <w:rPr>
          <w:rFonts w:cs="Arial"/>
        </w:rPr>
      </w:pPr>
      <w:bookmarkStart w:id="21" w:name="_Toc23400017"/>
      <w:r w:rsidRPr="003E0862">
        <w:rPr>
          <w:rFonts w:cs="Arial"/>
        </w:rPr>
        <w:t>Environmental Protection - Dewatering.</w:t>
      </w:r>
      <w:bookmarkEnd w:id="21"/>
    </w:p>
    <w:p w:rsidR="00584CB5" w:rsidRDefault="00584CB5" w:rsidP="00D439F7">
      <w:pPr>
        <w:pStyle w:val="spParagraph"/>
        <w:rPr>
          <w:i/>
        </w:rPr>
      </w:pPr>
      <w:r>
        <w:rPr>
          <w:i/>
        </w:rPr>
        <w:t>Add the following to standard spec 107.18:</w:t>
      </w:r>
    </w:p>
    <w:p w:rsidR="00584CB5" w:rsidRDefault="00584CB5" w:rsidP="00D439F7">
      <w:pPr>
        <w:pStyle w:val="spParagraph"/>
      </w:pPr>
      <w:r>
        <w:t>If dewatering is required, treat the water to remove suspended sediments by filtration, settlement or other appropriate best management practice prior to discharge. Submit the proposed means and methods of dewatering for each required location for approval as part of the Erosion Control Implementation Plan (ECIP). Include details of how the intake will be managed to not cause an increase in the background level turbidity prior to treatment and any additional measures necessary to prevent sediments from reaching the project limits or wetlands and waterways.</w:t>
      </w:r>
    </w:p>
    <w:p w:rsidR="00584CB5" w:rsidRDefault="00584CB5" w:rsidP="00D439F7">
      <w:pPr>
        <w:pStyle w:val="spParagraph"/>
      </w:pPr>
      <w:r>
        <w:t xml:space="preserve">Guidance on Dewatering can be found on the Wisconsin Department of Natural Resources website located in the Storm Water Construction Technical Standards, Dewatering Code #1061. This document can be found at the </w:t>
      </w:r>
      <w:proofErr w:type="spellStart"/>
      <w:r>
        <w:t>WisDNR</w:t>
      </w:r>
      <w:proofErr w:type="spellEnd"/>
      <w:r>
        <w:t xml:space="preserve"> website:</w:t>
      </w:r>
    </w:p>
    <w:p w:rsidR="00584CB5" w:rsidRDefault="0049548F" w:rsidP="00D439F7">
      <w:pPr>
        <w:pStyle w:val="wiWebLink"/>
        <w:jc w:val="left"/>
      </w:pPr>
      <w:hyperlink r:id="rId14" w:history="1">
        <w:r w:rsidR="00584CB5">
          <w:rPr>
            <w:rStyle w:val="Hyperlink"/>
            <w:rFonts w:eastAsiaTheme="majorEastAsia"/>
          </w:rPr>
          <w:t>http://dnr.wi.gov/topic/stormwater/standards/const_standards.html</w:t>
        </w:r>
      </w:hyperlink>
    </w:p>
    <w:p w:rsidR="00584CB5" w:rsidRDefault="00584CB5" w:rsidP="00D439F7">
      <w:pPr>
        <w:pStyle w:val="spParagraph"/>
      </w:pPr>
      <w:r>
        <w:t>Work includes furnishing all materials, excavation, maintenance, cleaning, disposal of surplus material and removal of the dewatering system and is incidental to contract work.</w:t>
      </w:r>
    </w:p>
    <w:p w:rsidR="00584CB5" w:rsidRPr="00CB3813" w:rsidRDefault="00584CB5" w:rsidP="00D439F7">
      <w:pPr>
        <w:pStyle w:val="spVersion"/>
        <w:rPr>
          <w:szCs w:val="18"/>
        </w:rPr>
      </w:pPr>
      <w:r w:rsidRPr="00CB3813">
        <w:rPr>
          <w:szCs w:val="18"/>
        </w:rPr>
        <w:t>ncr-107-025 (20160401)</w:t>
      </w:r>
    </w:p>
    <w:p w:rsidR="00584CB5" w:rsidRPr="00B04CCE" w:rsidRDefault="00584CB5" w:rsidP="00D439F7">
      <w:pPr>
        <w:pStyle w:val="1Heading1"/>
        <w:numPr>
          <w:ilvl w:val="0"/>
          <w:numId w:val="1"/>
        </w:numPr>
        <w:ind w:left="0" w:hanging="720"/>
      </w:pPr>
      <w:bookmarkStart w:id="22" w:name="_Toc23400018"/>
      <w:r w:rsidRPr="00B04CCE">
        <w:t>Erosion Control Structures.</w:t>
      </w:r>
      <w:bookmarkEnd w:id="22"/>
    </w:p>
    <w:p w:rsidR="00584CB5" w:rsidRDefault="00584CB5" w:rsidP="00D439F7">
      <w:pPr>
        <w:pStyle w:val="spParagraph"/>
      </w:pPr>
      <w:r>
        <w:t>Within seven calendar days after beginning work on the bridge superstructure, place all permanent erosion control devices, including riprap, erosion mat, ditch checks, seed, fertilizer, mulch, soil stabilizer, or any other item required by the contract or deemed necessary by the engineer. These devices shall be in place in the area under the bridge and on both sides of the roadway, from the waterway to a point 100-feet behind the backwall of the abutment. Within said limits, place these devices to a height equivalent to the calculated water elevation resulting from a storm that occurs on the average of once every two years (Q2) as shown on the plan, or as the engineer directs. Before initial construction operations, place turbidity barriers, silt screens, and other temporary erosion control measures as the plans show, and remove them after the permanent erosion control devices are in place unless directed otherwise by the engineer.</w:t>
      </w:r>
    </w:p>
    <w:p w:rsidR="00584CB5" w:rsidRDefault="00584CB5" w:rsidP="00D439F7">
      <w:pPr>
        <w:pStyle w:val="spParagraph"/>
      </w:pPr>
      <w:r>
        <w:t>In the event that construction activity does not disturb the existing ground below the Q2 elevation, the above timing requirements for permanent erosion control shall be waived.</w:t>
      </w:r>
    </w:p>
    <w:p w:rsidR="00584CB5" w:rsidRDefault="00584CB5" w:rsidP="00D439F7">
      <w:pPr>
        <w:pStyle w:val="spVersion"/>
      </w:pPr>
      <w:r>
        <w:t>stp-107-070 (20030820)</w:t>
      </w:r>
    </w:p>
    <w:p w:rsidR="00B239C8" w:rsidRPr="00B239C8" w:rsidRDefault="00B239C8" w:rsidP="00B239C8">
      <w:pPr>
        <w:pStyle w:val="1Heading1"/>
        <w:numPr>
          <w:ilvl w:val="0"/>
          <w:numId w:val="1"/>
        </w:numPr>
        <w:ind w:left="0" w:hanging="720"/>
      </w:pPr>
      <w:bookmarkStart w:id="23" w:name="_Toc23400019"/>
      <w:r w:rsidRPr="00B239C8">
        <w:t>Information to Bidders - U.S. Army Corps of Engineers Section 404 Permit (No Permit Obtained).</w:t>
      </w:r>
      <w:bookmarkEnd w:id="23"/>
    </w:p>
    <w:p w:rsidR="00B239C8" w:rsidRPr="00B239C8" w:rsidRDefault="00B239C8" w:rsidP="00B239C8">
      <w:pPr>
        <w:rPr>
          <w:rFonts w:eastAsia="Calibri" w:cs="Times New Roman"/>
          <w:szCs w:val="28"/>
        </w:rPr>
      </w:pPr>
      <w:r w:rsidRPr="00B239C8">
        <w:rPr>
          <w:rFonts w:eastAsia="Calibri" w:cs="Times New Roman"/>
          <w:szCs w:val="28"/>
        </w:rPr>
        <w:lastRenderedPageBreak/>
        <w:t>There are wetlands within the right of way. The department has not requested or obtained a U.S. Army Corps of Engineers 404 Permit for this project. Methods of operations, including preparatory work, staging, site clean-up, storing materials, or causing impacts to wetlands or waters are not permitted.</w:t>
      </w:r>
    </w:p>
    <w:p w:rsidR="00B239C8" w:rsidRPr="00B239C8" w:rsidRDefault="00B239C8" w:rsidP="00B239C8">
      <w:pPr>
        <w:rPr>
          <w:rFonts w:eastAsia="Calibri" w:cs="Times New Roman"/>
          <w:szCs w:val="28"/>
        </w:rPr>
      </w:pPr>
      <w:r w:rsidRPr="00B239C8">
        <w:rPr>
          <w:rFonts w:eastAsia="Calibri" w:cs="Times New Roman"/>
          <w:szCs w:val="28"/>
        </w:rPr>
        <w:t>It is the contractor’s responsibility to determine whether a U.S. Army Corps of Engineers Section 404 Permit is required, based on their method of operation, to construct the project. If a Section 404 Permit is necessary, obtain the Permit prior to beginning construction operations requiring the Permit. No time extensions as discussed in standard spec 108.10 will be granted for the time required to apply for and obtain the Permit. The contractor must be aware that the Corps of Engineers may not grant the Permit request.</w:t>
      </w:r>
    </w:p>
    <w:p w:rsidR="00B239C8" w:rsidRPr="00B239C8" w:rsidRDefault="00B239C8" w:rsidP="00B239C8">
      <w:pPr>
        <w:spacing w:before="60" w:after="60"/>
        <w:rPr>
          <w:rFonts w:eastAsia="Calibri" w:cs="Times New Roman"/>
          <w:sz w:val="18"/>
          <w:szCs w:val="24"/>
        </w:rPr>
      </w:pPr>
      <w:r w:rsidRPr="00B239C8">
        <w:rPr>
          <w:rFonts w:eastAsia="Calibri" w:cs="Times New Roman"/>
          <w:sz w:val="18"/>
          <w:szCs w:val="24"/>
        </w:rPr>
        <w:t>ncr-107-040 (20141015)</w:t>
      </w:r>
    </w:p>
    <w:p w:rsidR="00F40391" w:rsidRPr="00F40391" w:rsidRDefault="00F40391" w:rsidP="00D439F7">
      <w:pPr>
        <w:pStyle w:val="1Heading1"/>
        <w:numPr>
          <w:ilvl w:val="0"/>
          <w:numId w:val="1"/>
        </w:numPr>
        <w:ind w:left="0" w:hanging="720"/>
      </w:pPr>
      <w:bookmarkStart w:id="24" w:name="_Toc23400020"/>
      <w:r w:rsidRPr="00F40391">
        <w:t>Notice to Contractor – Contamination Beyond Construction Limits</w:t>
      </w:r>
      <w:r>
        <w:t>.</w:t>
      </w:r>
      <w:bookmarkEnd w:id="24"/>
    </w:p>
    <w:p w:rsidR="00F40391" w:rsidRPr="00F40391" w:rsidRDefault="00F40391" w:rsidP="00D439F7">
      <w:pPr>
        <w:pStyle w:val="spParagraph"/>
      </w:pPr>
      <w:r w:rsidRPr="00F40391">
        <w:t>The department and others have completed testing for soil and ground water contamination for locations within and adjacent to this project where excavation or grading may be required. Testing indicated that petroleum hydrocarbon and lead contaminated soil and/or ground water is present at the Depot Street Station site listed in Hazardous Materials Contamination.</w:t>
      </w:r>
    </w:p>
    <w:p w:rsidR="00F40391" w:rsidRPr="00F40391" w:rsidRDefault="00F40391" w:rsidP="00D439F7">
      <w:pPr>
        <w:pStyle w:val="spParagraph"/>
      </w:pPr>
      <w:r w:rsidRPr="00F40391">
        <w:t>Contaminated soil and/or groundwater at the Depot Street Station site is expected to be beyond the excavation and grading limits necessary to complete the work under this project.  Control construction operations at the location to ensure that they do not extend beyond the excavation or grading limits indicated in the plans unless expressly directed to do so by the engineer.</w:t>
      </w:r>
    </w:p>
    <w:p w:rsidR="00F40391" w:rsidRPr="00F40391" w:rsidRDefault="00F40391" w:rsidP="00D439F7">
      <w:pPr>
        <w:pStyle w:val="spParagraph"/>
      </w:pPr>
      <w:r w:rsidRPr="00F40391">
        <w:t>If contaminated soil, groundwater or underground storage tanks (USTs) are encountered at the site during excavation or grading, then terminate excavation or grading in the area and notify the engineer.</w:t>
      </w:r>
    </w:p>
    <w:p w:rsidR="00F52055" w:rsidRPr="00B04CCE" w:rsidRDefault="00F52055" w:rsidP="00D439F7">
      <w:pPr>
        <w:pStyle w:val="1Heading1"/>
        <w:numPr>
          <w:ilvl w:val="0"/>
          <w:numId w:val="1"/>
        </w:numPr>
        <w:ind w:left="0" w:hanging="720"/>
      </w:pPr>
      <w:bookmarkStart w:id="25" w:name="_Toc12885352"/>
      <w:bookmarkStart w:id="26" w:name="_Toc12885390"/>
      <w:bookmarkStart w:id="27" w:name="_Toc17817045"/>
      <w:bookmarkStart w:id="28" w:name="_Toc18054070"/>
      <w:bookmarkStart w:id="29" w:name="_Toc12885353"/>
      <w:bookmarkStart w:id="30" w:name="_Toc12885391"/>
      <w:bookmarkStart w:id="31" w:name="_Toc17817046"/>
      <w:bookmarkStart w:id="32" w:name="_Toc18054071"/>
      <w:bookmarkStart w:id="33" w:name="_Toc12885354"/>
      <w:bookmarkStart w:id="34" w:name="_Toc12885392"/>
      <w:bookmarkStart w:id="35" w:name="_Toc17817047"/>
      <w:bookmarkStart w:id="36" w:name="_Toc18054072"/>
      <w:bookmarkStart w:id="37" w:name="_Toc12885355"/>
      <w:bookmarkStart w:id="38" w:name="_Toc12885393"/>
      <w:bookmarkStart w:id="39" w:name="_Toc17817048"/>
      <w:bookmarkStart w:id="40" w:name="_Toc18054073"/>
      <w:bookmarkStart w:id="41" w:name="_Toc12885356"/>
      <w:bookmarkStart w:id="42" w:name="_Toc12885394"/>
      <w:bookmarkStart w:id="43" w:name="_Toc17817049"/>
      <w:bookmarkStart w:id="44" w:name="_Toc18054074"/>
      <w:bookmarkStart w:id="45" w:name="_Toc12885357"/>
      <w:bookmarkStart w:id="46" w:name="_Toc12885395"/>
      <w:bookmarkStart w:id="47" w:name="_Toc17817050"/>
      <w:bookmarkStart w:id="48" w:name="_Toc18054075"/>
      <w:bookmarkStart w:id="49" w:name="_Toc12885358"/>
      <w:bookmarkStart w:id="50" w:name="_Toc12885396"/>
      <w:bookmarkStart w:id="51" w:name="_Toc17817051"/>
      <w:bookmarkStart w:id="52" w:name="_Toc18054076"/>
      <w:bookmarkStart w:id="53" w:name="_Toc12885359"/>
      <w:bookmarkStart w:id="54" w:name="_Toc12885397"/>
      <w:bookmarkStart w:id="55" w:name="_Toc17817052"/>
      <w:bookmarkStart w:id="56" w:name="_Toc18054077"/>
      <w:bookmarkStart w:id="57" w:name="_Toc2340002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04CCE">
        <w:t>Notice to Contractor, Notification of Demolition and/or Renovation No Asbestos Found.</w:t>
      </w:r>
      <w:bookmarkEnd w:id="57"/>
    </w:p>
    <w:p w:rsidR="00F52055" w:rsidRDefault="00F52055" w:rsidP="00D439F7">
      <w:pPr>
        <w:pStyle w:val="spParagraph"/>
      </w:pPr>
      <w:r>
        <w:t xml:space="preserve">John </w:t>
      </w:r>
      <w:proofErr w:type="spellStart"/>
      <w:r>
        <w:t>Roelke</w:t>
      </w:r>
      <w:proofErr w:type="spellEnd"/>
      <w:r>
        <w:t>, License Number AII-119523, inspected Structure B-68-0029 for asbestos on November 14, 2017. No regulated Asbestos Containing Material (RACM) was found on this structure. A copy of the inspection report is available from: Wendy Arneson at (715) 421-7391.</w:t>
      </w:r>
    </w:p>
    <w:p w:rsidR="00F52055" w:rsidRPr="00053062" w:rsidRDefault="00F52055" w:rsidP="00D439F7">
      <w:pPr>
        <w:pStyle w:val="spParagraph"/>
        <w:rPr>
          <w:szCs w:val="20"/>
        </w:rPr>
      </w:pPr>
      <w:r>
        <w:t xml:space="preserve">In accordance with NR447 and DHS159 , ensure that DNR or DHS receives a completed Notification of Demolition and/or Renovation (DNR Form 4500-113 (R 4/11), or subsequent revision) via U.S. mail, hand-delivery, or using the online notification system at least 10 working days before beginning any construction or demolition. Pay all associated fees. Provide a copy of the completed 4500-113 form to Wendy Arneson at (715) 421-7391 and DOT BTS-ESS </w:t>
      </w:r>
      <w:proofErr w:type="spellStart"/>
      <w:r>
        <w:t>attn:</w:t>
      </w:r>
      <w:proofErr w:type="spellEnd"/>
      <w:r>
        <w:t xml:space="preserve"> Hazardous Materials Specialist PO Box 7965, </w:t>
      </w:r>
      <w:r w:rsidRPr="00053062">
        <w:t xml:space="preserve">Madison, WI. 53707-7965. In addition, comply with all local or municipal asbestos requirements. Use </w:t>
      </w:r>
      <w:r w:rsidRPr="00053062">
        <w:rPr>
          <w:szCs w:val="20"/>
        </w:rPr>
        <w:t xml:space="preserve">the following information to complete </w:t>
      </w:r>
      <w:proofErr w:type="spellStart"/>
      <w:r w:rsidRPr="00053062">
        <w:rPr>
          <w:szCs w:val="20"/>
        </w:rPr>
        <w:t>WisDNR</w:t>
      </w:r>
      <w:proofErr w:type="spellEnd"/>
      <w:r w:rsidRPr="00053062">
        <w:rPr>
          <w:szCs w:val="20"/>
        </w:rPr>
        <w:t xml:space="preserve"> form 4500-113:</w:t>
      </w:r>
    </w:p>
    <w:p w:rsidR="00F52055" w:rsidRPr="00053062" w:rsidRDefault="00F52055" w:rsidP="00D439F7">
      <w:pPr>
        <w:pStyle w:val="spBullet1"/>
        <w:rPr>
          <w:sz w:val="20"/>
        </w:rPr>
      </w:pPr>
      <w:r w:rsidRPr="00053062">
        <w:rPr>
          <w:sz w:val="20"/>
        </w:rPr>
        <w:t>-</w:t>
      </w:r>
      <w:r w:rsidRPr="00053062">
        <w:rPr>
          <w:sz w:val="20"/>
        </w:rPr>
        <w:tab/>
        <w:t xml:space="preserve">Site Name: </w:t>
      </w:r>
      <w:r w:rsidR="000F07C3" w:rsidRPr="00053062">
        <w:rPr>
          <w:sz w:val="20"/>
        </w:rPr>
        <w:t>B-68-0029</w:t>
      </w:r>
      <w:r w:rsidRPr="00053062">
        <w:rPr>
          <w:sz w:val="20"/>
        </w:rPr>
        <w:t xml:space="preserve">, </w:t>
      </w:r>
      <w:r w:rsidR="000F07C3" w:rsidRPr="00053062">
        <w:rPr>
          <w:sz w:val="20"/>
        </w:rPr>
        <w:t xml:space="preserve">STH 49 </w:t>
      </w:r>
      <w:r w:rsidRPr="00053062">
        <w:rPr>
          <w:sz w:val="20"/>
        </w:rPr>
        <w:t xml:space="preserve">over </w:t>
      </w:r>
      <w:r w:rsidR="000F07C3" w:rsidRPr="00053062">
        <w:rPr>
          <w:sz w:val="20"/>
        </w:rPr>
        <w:t>S BR Little Wolf River</w:t>
      </w:r>
    </w:p>
    <w:p w:rsidR="00F52055" w:rsidRPr="00053062" w:rsidRDefault="00F52055" w:rsidP="00D439F7">
      <w:pPr>
        <w:pStyle w:val="spBullet1"/>
        <w:rPr>
          <w:sz w:val="20"/>
        </w:rPr>
      </w:pPr>
      <w:r w:rsidRPr="00053062">
        <w:rPr>
          <w:sz w:val="20"/>
        </w:rPr>
        <w:t>-</w:t>
      </w:r>
      <w:r w:rsidRPr="00053062">
        <w:rPr>
          <w:sz w:val="20"/>
        </w:rPr>
        <w:tab/>
        <w:t xml:space="preserve">Site Address: </w:t>
      </w:r>
      <w:r w:rsidR="000F07C3" w:rsidRPr="00053062">
        <w:rPr>
          <w:sz w:val="20"/>
        </w:rPr>
        <w:t xml:space="preserve">0.5 M N </w:t>
      </w:r>
      <w:proofErr w:type="spellStart"/>
      <w:r w:rsidR="000F07C3" w:rsidRPr="00053062">
        <w:rPr>
          <w:sz w:val="20"/>
        </w:rPr>
        <w:t>Jct</w:t>
      </w:r>
      <w:proofErr w:type="spellEnd"/>
      <w:r w:rsidR="000F07C3" w:rsidRPr="00053062">
        <w:rPr>
          <w:sz w:val="20"/>
        </w:rPr>
        <w:t xml:space="preserve"> STH 161 to E</w:t>
      </w:r>
    </w:p>
    <w:p w:rsidR="00F52055" w:rsidRPr="00053062" w:rsidRDefault="00F52055" w:rsidP="00D439F7">
      <w:pPr>
        <w:pStyle w:val="spBullet1"/>
        <w:rPr>
          <w:sz w:val="20"/>
        </w:rPr>
      </w:pPr>
      <w:r w:rsidRPr="00053062">
        <w:rPr>
          <w:sz w:val="20"/>
        </w:rPr>
        <w:t>-</w:t>
      </w:r>
      <w:r w:rsidRPr="00053062">
        <w:rPr>
          <w:sz w:val="20"/>
        </w:rPr>
        <w:tab/>
        <w:t xml:space="preserve">Ownership Information: </w:t>
      </w:r>
      <w:r w:rsidR="000F07C3" w:rsidRPr="00053062">
        <w:rPr>
          <w:sz w:val="20"/>
        </w:rPr>
        <w:t>WisDOT North Central Region,</w:t>
      </w:r>
      <w:r w:rsidR="00053062" w:rsidRPr="00053062">
        <w:rPr>
          <w:sz w:val="20"/>
        </w:rPr>
        <w:t xml:space="preserve"> 1681 Second Avenue, Wisconsin Rapids, WI 54495</w:t>
      </w:r>
      <w:r w:rsidR="000F07C3" w:rsidRPr="00053062">
        <w:rPr>
          <w:sz w:val="20"/>
        </w:rPr>
        <w:t xml:space="preserve"> </w:t>
      </w:r>
    </w:p>
    <w:p w:rsidR="00F52055" w:rsidRPr="00053062" w:rsidRDefault="00F52055" w:rsidP="00D439F7">
      <w:pPr>
        <w:pStyle w:val="spBullet1"/>
        <w:rPr>
          <w:sz w:val="20"/>
        </w:rPr>
      </w:pPr>
      <w:r w:rsidRPr="00053062">
        <w:rPr>
          <w:sz w:val="20"/>
        </w:rPr>
        <w:t>-</w:t>
      </w:r>
      <w:r w:rsidRPr="00053062">
        <w:rPr>
          <w:sz w:val="20"/>
        </w:rPr>
        <w:tab/>
        <w:t xml:space="preserve">Contact: </w:t>
      </w:r>
      <w:r w:rsidR="00053062" w:rsidRPr="00053062">
        <w:rPr>
          <w:sz w:val="20"/>
        </w:rPr>
        <w:t>Wendy Arneson</w:t>
      </w:r>
    </w:p>
    <w:p w:rsidR="00F52055" w:rsidRPr="00053062" w:rsidRDefault="00F52055" w:rsidP="00D439F7">
      <w:pPr>
        <w:pStyle w:val="spBullet1"/>
        <w:rPr>
          <w:sz w:val="20"/>
        </w:rPr>
      </w:pPr>
      <w:r w:rsidRPr="00053062">
        <w:rPr>
          <w:sz w:val="20"/>
        </w:rPr>
        <w:t>-</w:t>
      </w:r>
      <w:r w:rsidRPr="00053062">
        <w:rPr>
          <w:sz w:val="20"/>
        </w:rPr>
        <w:tab/>
        <w:t xml:space="preserve">Phone: </w:t>
      </w:r>
      <w:r w:rsidR="00053062" w:rsidRPr="00053062">
        <w:rPr>
          <w:sz w:val="20"/>
        </w:rPr>
        <w:t>(715) 421-7391</w:t>
      </w:r>
    </w:p>
    <w:p w:rsidR="00F52055" w:rsidRPr="00053062" w:rsidRDefault="00F52055" w:rsidP="00D439F7">
      <w:pPr>
        <w:pStyle w:val="spBullet1"/>
        <w:rPr>
          <w:sz w:val="20"/>
        </w:rPr>
      </w:pPr>
      <w:r w:rsidRPr="00053062">
        <w:rPr>
          <w:sz w:val="20"/>
        </w:rPr>
        <w:t>-</w:t>
      </w:r>
      <w:r w:rsidRPr="00053062">
        <w:rPr>
          <w:sz w:val="20"/>
        </w:rPr>
        <w:tab/>
        <w:t xml:space="preserve">Age: </w:t>
      </w:r>
      <w:r w:rsidR="00053062" w:rsidRPr="00053062">
        <w:rPr>
          <w:sz w:val="20"/>
        </w:rPr>
        <w:t>92</w:t>
      </w:r>
      <w:r w:rsidRPr="00053062">
        <w:rPr>
          <w:sz w:val="20"/>
        </w:rPr>
        <w:t xml:space="preserve"> years old. This structure was constructed in </w:t>
      </w:r>
      <w:r w:rsidR="00053062" w:rsidRPr="00053062">
        <w:rPr>
          <w:sz w:val="20"/>
        </w:rPr>
        <w:t>1929</w:t>
      </w:r>
    </w:p>
    <w:p w:rsidR="00F52055" w:rsidRPr="00053062" w:rsidRDefault="00F52055" w:rsidP="00D439F7">
      <w:pPr>
        <w:pStyle w:val="spBullet1"/>
        <w:rPr>
          <w:sz w:val="20"/>
        </w:rPr>
      </w:pPr>
      <w:r w:rsidRPr="00053062">
        <w:rPr>
          <w:sz w:val="20"/>
        </w:rPr>
        <w:t>-</w:t>
      </w:r>
      <w:r w:rsidRPr="00053062">
        <w:rPr>
          <w:sz w:val="20"/>
        </w:rPr>
        <w:tab/>
        <w:t xml:space="preserve">Area: </w:t>
      </w:r>
      <w:r w:rsidR="00053062" w:rsidRPr="00053062">
        <w:rPr>
          <w:sz w:val="20"/>
        </w:rPr>
        <w:t>1,425</w:t>
      </w:r>
      <w:r w:rsidRPr="00053062">
        <w:rPr>
          <w:sz w:val="20"/>
        </w:rPr>
        <w:t xml:space="preserve"> SF of deck</w:t>
      </w:r>
    </w:p>
    <w:p w:rsidR="00F52055" w:rsidRPr="00053062" w:rsidRDefault="00F52055" w:rsidP="00D439F7">
      <w:pPr>
        <w:pStyle w:val="spParagraph"/>
        <w:rPr>
          <w:szCs w:val="20"/>
        </w:rPr>
      </w:pPr>
      <w:r w:rsidRPr="00053062">
        <w:rPr>
          <w:szCs w:val="20"/>
        </w:rPr>
        <w:t>Insert the following paragraph in Section 6.g.:</w:t>
      </w:r>
    </w:p>
    <w:p w:rsidR="00F52055" w:rsidRPr="00053062" w:rsidRDefault="00F52055" w:rsidP="00D439F7">
      <w:pPr>
        <w:pStyle w:val="spBullet1"/>
        <w:rPr>
          <w:sz w:val="20"/>
        </w:rPr>
      </w:pPr>
      <w:r w:rsidRPr="00053062">
        <w:rPr>
          <w:sz w:val="20"/>
        </w:rPr>
        <w:t>-</w:t>
      </w:r>
      <w:r w:rsidRPr="00053062">
        <w:rPr>
          <w:sz w:val="20"/>
        </w:rPr>
        <w:tab/>
        <w:t>If asbestos not previously identified is found or previously non-friable asbestos becomes crumbled, pulverized, or reduced to a powder, stop work immediately, notify the engineer, and the engineer will notify the department’s Bureau of Technical Services at 608-266-1476 for an emergency response as specified in standard spec 107.24. Keep material wet until it is abated or until it is determined to be non-asbestos containing material.</w:t>
      </w:r>
    </w:p>
    <w:p w:rsidR="00F52055" w:rsidRPr="00053062" w:rsidRDefault="00F52055" w:rsidP="00D439F7">
      <w:pPr>
        <w:pStyle w:val="spVersion"/>
        <w:rPr>
          <w:sz w:val="20"/>
          <w:szCs w:val="20"/>
        </w:rPr>
      </w:pPr>
      <w:r w:rsidRPr="00053062">
        <w:rPr>
          <w:sz w:val="20"/>
          <w:szCs w:val="20"/>
        </w:rPr>
        <w:t>stp-107-125 (20120615)</w:t>
      </w:r>
    </w:p>
    <w:p w:rsidR="00584CB5" w:rsidRPr="00BB2F2F" w:rsidRDefault="00584CB5" w:rsidP="00D439F7">
      <w:pPr>
        <w:pStyle w:val="1Heading1"/>
        <w:numPr>
          <w:ilvl w:val="0"/>
          <w:numId w:val="1"/>
        </w:numPr>
        <w:ind w:left="0" w:hanging="720"/>
        <w:rPr>
          <w:rFonts w:cs="Arial"/>
        </w:rPr>
      </w:pPr>
      <w:bookmarkStart w:id="58" w:name="_Toc12619458"/>
      <w:bookmarkStart w:id="59" w:name="_Toc12619459"/>
      <w:bookmarkStart w:id="60" w:name="_Toc12619460"/>
      <w:bookmarkStart w:id="61" w:name="_Toc12619461"/>
      <w:bookmarkStart w:id="62" w:name="_Toc12619462"/>
      <w:bookmarkStart w:id="63" w:name="_Toc23400022"/>
      <w:bookmarkEnd w:id="58"/>
      <w:bookmarkEnd w:id="59"/>
      <w:bookmarkEnd w:id="60"/>
      <w:bookmarkEnd w:id="61"/>
      <w:bookmarkEnd w:id="62"/>
      <w:r w:rsidRPr="003E0862">
        <w:rPr>
          <w:rFonts w:cs="Arial"/>
        </w:rPr>
        <w:t>Public Convenience and Safety.</w:t>
      </w:r>
      <w:bookmarkEnd w:id="63"/>
    </w:p>
    <w:p w:rsidR="00584CB5" w:rsidRDefault="00584CB5" w:rsidP="00D439F7">
      <w:pPr>
        <w:pStyle w:val="spParagraph"/>
        <w:rPr>
          <w:i/>
        </w:rPr>
      </w:pPr>
      <w:r>
        <w:rPr>
          <w:i/>
        </w:rPr>
        <w:t>Replace standard spec 107.8 (4) with the following:</w:t>
      </w:r>
    </w:p>
    <w:p w:rsidR="00584CB5" w:rsidRPr="00CB3813" w:rsidRDefault="00584CB5" w:rsidP="00D439F7">
      <w:pPr>
        <w:pStyle w:val="spParagraph"/>
        <w:rPr>
          <w:szCs w:val="20"/>
        </w:rPr>
      </w:pPr>
      <w:r w:rsidRPr="00CB3813">
        <w:rPr>
          <w:szCs w:val="20"/>
        </w:rPr>
        <w:t>Notify the following organizations and departments at least 2 business days before road closures, lane closures, or detours are put into effect:</w:t>
      </w:r>
    </w:p>
    <w:p w:rsidR="00584CB5" w:rsidRPr="00CB3813" w:rsidRDefault="00584CB5" w:rsidP="00D439F7">
      <w:pPr>
        <w:pStyle w:val="spSmall"/>
        <w:rPr>
          <w:sz w:val="20"/>
          <w:szCs w:val="20"/>
        </w:rPr>
      </w:pPr>
      <w:r w:rsidRPr="00CB3813">
        <w:rPr>
          <w:sz w:val="20"/>
          <w:szCs w:val="20"/>
        </w:rPr>
        <w:lastRenderedPageBreak/>
        <w:t>Waupaca County Sheriff’s Department</w:t>
      </w:r>
    </w:p>
    <w:p w:rsidR="00584CB5" w:rsidRPr="00CB3813" w:rsidRDefault="00584CB5" w:rsidP="00D439F7">
      <w:pPr>
        <w:pStyle w:val="spSmall"/>
        <w:rPr>
          <w:sz w:val="20"/>
          <w:szCs w:val="20"/>
        </w:rPr>
      </w:pPr>
      <w:r w:rsidRPr="00CB3813">
        <w:rPr>
          <w:sz w:val="20"/>
          <w:szCs w:val="20"/>
        </w:rPr>
        <w:t>Wisconsin State Patrol</w:t>
      </w:r>
    </w:p>
    <w:p w:rsidR="00584CB5" w:rsidRPr="00CB3813" w:rsidRDefault="00584CB5" w:rsidP="00D439F7">
      <w:pPr>
        <w:pStyle w:val="spSmall"/>
        <w:rPr>
          <w:sz w:val="20"/>
          <w:szCs w:val="20"/>
        </w:rPr>
      </w:pPr>
      <w:r w:rsidRPr="00CB3813">
        <w:rPr>
          <w:sz w:val="20"/>
          <w:szCs w:val="20"/>
        </w:rPr>
        <w:t>Village of Iola</w:t>
      </w:r>
    </w:p>
    <w:p w:rsidR="00584CB5" w:rsidRPr="00CB3813" w:rsidRDefault="00584CB5" w:rsidP="00D439F7">
      <w:pPr>
        <w:pStyle w:val="spSmall"/>
        <w:rPr>
          <w:sz w:val="20"/>
          <w:szCs w:val="20"/>
        </w:rPr>
      </w:pPr>
      <w:r w:rsidRPr="00CB3813">
        <w:rPr>
          <w:sz w:val="20"/>
          <w:szCs w:val="20"/>
        </w:rPr>
        <w:t>Iola-Scandinavia School District</w:t>
      </w:r>
    </w:p>
    <w:p w:rsidR="00584CB5" w:rsidRPr="00CB3813" w:rsidRDefault="009F58B7" w:rsidP="00D439F7">
      <w:pPr>
        <w:pStyle w:val="spSmall"/>
        <w:rPr>
          <w:sz w:val="20"/>
          <w:szCs w:val="20"/>
        </w:rPr>
      </w:pPr>
      <w:r w:rsidRPr="00CB3813">
        <w:rPr>
          <w:sz w:val="20"/>
          <w:szCs w:val="20"/>
        </w:rPr>
        <w:fldChar w:fldCharType="begin">
          <w:ffData>
            <w:name w:val=""/>
            <w:enabled/>
            <w:calcOnExit w:val="0"/>
            <w:textInput>
              <w:default w:val="Iola"/>
            </w:textInput>
          </w:ffData>
        </w:fldChar>
      </w:r>
      <w:r w:rsidRPr="00CB3813">
        <w:rPr>
          <w:sz w:val="20"/>
          <w:szCs w:val="20"/>
        </w:rPr>
        <w:instrText xml:space="preserve"> FORMTEXT </w:instrText>
      </w:r>
      <w:r w:rsidRPr="00CB3813">
        <w:rPr>
          <w:sz w:val="20"/>
          <w:szCs w:val="20"/>
        </w:rPr>
      </w:r>
      <w:r w:rsidRPr="00CB3813">
        <w:rPr>
          <w:sz w:val="20"/>
          <w:szCs w:val="20"/>
        </w:rPr>
        <w:fldChar w:fldCharType="separate"/>
      </w:r>
      <w:r w:rsidRPr="00CB3813">
        <w:rPr>
          <w:noProof/>
          <w:sz w:val="20"/>
          <w:szCs w:val="20"/>
        </w:rPr>
        <w:t>Iola</w:t>
      </w:r>
      <w:r w:rsidRPr="00CB3813">
        <w:rPr>
          <w:sz w:val="20"/>
          <w:szCs w:val="20"/>
        </w:rPr>
        <w:fldChar w:fldCharType="end"/>
      </w:r>
      <w:r w:rsidR="0035777C" w:rsidRPr="00CB3813">
        <w:rPr>
          <w:sz w:val="20"/>
          <w:szCs w:val="20"/>
        </w:rPr>
        <w:t xml:space="preserve"> </w:t>
      </w:r>
      <w:r w:rsidR="00584CB5" w:rsidRPr="00CB3813">
        <w:rPr>
          <w:sz w:val="20"/>
          <w:szCs w:val="20"/>
        </w:rPr>
        <w:t>Post Office</w:t>
      </w:r>
    </w:p>
    <w:p w:rsidR="00584CB5" w:rsidRPr="00CB3813" w:rsidRDefault="00584CB5" w:rsidP="00D439F7">
      <w:pPr>
        <w:pStyle w:val="spParagraph"/>
        <w:rPr>
          <w:szCs w:val="20"/>
        </w:rPr>
      </w:pPr>
      <w:r w:rsidRPr="00CB3813">
        <w:rPr>
          <w:szCs w:val="20"/>
        </w:rPr>
        <w:t>The Waupaca County Sheriff’s Department 911 dispatches all area police, fire and ambulance services, and will relay any notification given by the contractor.</w:t>
      </w:r>
    </w:p>
    <w:p w:rsidR="00584CB5" w:rsidRPr="00CB3813" w:rsidRDefault="00584CB5" w:rsidP="00D439F7">
      <w:pPr>
        <w:pStyle w:val="spVersion"/>
        <w:rPr>
          <w:sz w:val="20"/>
          <w:szCs w:val="20"/>
        </w:rPr>
      </w:pPr>
      <w:r w:rsidRPr="00CB3813">
        <w:rPr>
          <w:sz w:val="20"/>
          <w:szCs w:val="20"/>
        </w:rPr>
        <w:t>ncr-107-005 (20141015)</w:t>
      </w:r>
    </w:p>
    <w:p w:rsidR="00F52055" w:rsidRPr="00B04CCE" w:rsidRDefault="00F52055" w:rsidP="00D439F7">
      <w:pPr>
        <w:pStyle w:val="1Heading1"/>
        <w:numPr>
          <w:ilvl w:val="0"/>
          <w:numId w:val="1"/>
        </w:numPr>
        <w:ind w:left="0" w:hanging="720"/>
      </w:pPr>
      <w:bookmarkStart w:id="64" w:name="_Toc23400023"/>
      <w:r w:rsidRPr="00B04CCE">
        <w:t xml:space="preserve">Removing Old Structure Over Waterway </w:t>
      </w:r>
      <w:proofErr w:type="gramStart"/>
      <w:r w:rsidRPr="00B04CCE">
        <w:t>With</w:t>
      </w:r>
      <w:proofErr w:type="gramEnd"/>
      <w:r w:rsidRPr="00B04CCE">
        <w:t xml:space="preserve"> Minimal Debris Station </w:t>
      </w:r>
      <w:r>
        <w:rPr>
          <w:highlight w:val="lightGray"/>
        </w:rPr>
        <w:fldChar w:fldCharType="begin">
          <w:ffData>
            <w:name w:val="Text13"/>
            <w:enabled/>
            <w:calcOnExit w:val="0"/>
            <w:textInput>
              <w:default w:val="10+00"/>
            </w:textInput>
          </w:ffData>
        </w:fldChar>
      </w:r>
      <w:bookmarkStart w:id="65" w:name="Text13"/>
      <w:r>
        <w:rPr>
          <w:highlight w:val="lightGray"/>
        </w:rPr>
        <w:instrText xml:space="preserve"> FORMTEXT </w:instrText>
      </w:r>
      <w:r>
        <w:rPr>
          <w:highlight w:val="lightGray"/>
        </w:rPr>
      </w:r>
      <w:r>
        <w:rPr>
          <w:highlight w:val="lightGray"/>
        </w:rPr>
        <w:fldChar w:fldCharType="separate"/>
      </w:r>
      <w:r>
        <w:rPr>
          <w:noProof/>
          <w:highlight w:val="lightGray"/>
        </w:rPr>
        <w:t>10+00</w:t>
      </w:r>
      <w:r>
        <w:rPr>
          <w:highlight w:val="lightGray"/>
        </w:rPr>
        <w:fldChar w:fldCharType="end"/>
      </w:r>
      <w:bookmarkEnd w:id="65"/>
      <w:r w:rsidRPr="00B04CCE">
        <w:t>, Item 203.0600.S.</w:t>
      </w:r>
      <w:bookmarkEnd w:id="64"/>
    </w:p>
    <w:p w:rsidR="00F52055" w:rsidRDefault="00F52055" w:rsidP="00D439F7">
      <w:pPr>
        <w:pStyle w:val="spParagraph"/>
      </w:pPr>
      <w:r>
        <w:t>Conform to standard spec 203 as modified in this special provision.</w:t>
      </w:r>
    </w:p>
    <w:p w:rsidR="00F52055" w:rsidRPr="00EC62FC" w:rsidRDefault="00F52055" w:rsidP="00D439F7">
      <w:pPr>
        <w:pStyle w:val="spUndefined"/>
        <w:rPr>
          <w:rFonts w:cs="Arial"/>
          <w:i/>
        </w:rPr>
      </w:pPr>
      <w:r w:rsidRPr="00EC62FC">
        <w:rPr>
          <w:rFonts w:cs="Arial"/>
          <w:i/>
        </w:rPr>
        <w:t>Add the following to standard spec 203:</w:t>
      </w:r>
    </w:p>
    <w:p w:rsidR="00F52055" w:rsidRDefault="00F52055" w:rsidP="00D439F7">
      <w:pPr>
        <w:pStyle w:val="spParagraph"/>
      </w:pPr>
      <w:proofErr w:type="gramStart"/>
      <w:r w:rsidRPr="00765725">
        <w:rPr>
          <w:rStyle w:val="spHeading"/>
        </w:rPr>
        <w:t>203.3.6  Removals</w:t>
      </w:r>
      <w:proofErr w:type="gramEnd"/>
      <w:r w:rsidRPr="00765725">
        <w:rPr>
          <w:rStyle w:val="spHeading"/>
        </w:rPr>
        <w:t xml:space="preserve"> Over Waterways and Wetlands</w:t>
      </w:r>
    </w:p>
    <w:p w:rsidR="00F52055" w:rsidRDefault="00F52055" w:rsidP="00D439F7">
      <w:pPr>
        <w:pStyle w:val="spParagraph"/>
      </w:pPr>
      <w:proofErr w:type="gramStart"/>
      <w:r w:rsidRPr="00765725">
        <w:rPr>
          <w:rStyle w:val="spHeading"/>
        </w:rPr>
        <w:t>203.3.6.2  Removing</w:t>
      </w:r>
      <w:proofErr w:type="gramEnd"/>
      <w:r w:rsidRPr="00765725">
        <w:rPr>
          <w:rStyle w:val="spHeading"/>
        </w:rPr>
        <w:t xml:space="preserve"> Old Structure Over Waterway with Minimal Debris</w:t>
      </w:r>
    </w:p>
    <w:p w:rsidR="00F52055" w:rsidRDefault="00F52055" w:rsidP="00D439F7">
      <w:pPr>
        <w:pStyle w:val="ssParagraph"/>
      </w:pPr>
      <w:r w:rsidRPr="000A528D">
        <w:tab/>
      </w:r>
      <w:r w:rsidRPr="003B1968">
        <w:rPr>
          <w:rStyle w:val="ssParagraphNumber"/>
        </w:rPr>
        <w:t>(1)</w:t>
      </w:r>
      <w:r w:rsidRPr="000A528D">
        <w:tab/>
      </w:r>
      <w:r>
        <w:t xml:space="preserve">Remove the existing structure </w:t>
      </w:r>
      <w:r>
        <w:rPr>
          <w:highlight w:val="lightGray"/>
        </w:rPr>
        <w:fldChar w:fldCharType="begin">
          <w:ffData>
            <w:name w:val="Text8"/>
            <w:enabled/>
            <w:calcOnExit w:val="0"/>
            <w:textInput>
              <w:default w:val="B-68-0029"/>
            </w:textInput>
          </w:ffData>
        </w:fldChar>
      </w:r>
      <w:bookmarkStart w:id="66" w:name="Text8"/>
      <w:r>
        <w:rPr>
          <w:highlight w:val="lightGray"/>
        </w:rPr>
        <w:instrText xml:space="preserve"> FORMTEXT </w:instrText>
      </w:r>
      <w:r>
        <w:rPr>
          <w:highlight w:val="lightGray"/>
        </w:rPr>
      </w:r>
      <w:r>
        <w:rPr>
          <w:highlight w:val="lightGray"/>
        </w:rPr>
        <w:fldChar w:fldCharType="separate"/>
      </w:r>
      <w:r>
        <w:rPr>
          <w:noProof/>
          <w:highlight w:val="lightGray"/>
        </w:rPr>
        <w:t>B-68-0029</w:t>
      </w:r>
      <w:r>
        <w:rPr>
          <w:highlight w:val="lightGray"/>
        </w:rPr>
        <w:fldChar w:fldCharType="end"/>
      </w:r>
      <w:bookmarkEnd w:id="66"/>
      <w:r>
        <w:t xml:space="preserve"> over the </w:t>
      </w:r>
      <w:r>
        <w:rPr>
          <w:highlight w:val="lightGray"/>
        </w:rPr>
        <w:fldChar w:fldCharType="begin">
          <w:ffData>
            <w:name w:val="Text4"/>
            <w:enabled/>
            <w:calcOnExit w:val="0"/>
            <w:textInput>
              <w:default w:val="South Branch Little Wolf River"/>
            </w:textInput>
          </w:ffData>
        </w:fldChar>
      </w:r>
      <w:bookmarkStart w:id="67" w:name="Text4"/>
      <w:r>
        <w:rPr>
          <w:highlight w:val="lightGray"/>
        </w:rPr>
        <w:instrText xml:space="preserve"> FORMTEXT </w:instrText>
      </w:r>
      <w:r>
        <w:rPr>
          <w:highlight w:val="lightGray"/>
        </w:rPr>
      </w:r>
      <w:r>
        <w:rPr>
          <w:highlight w:val="lightGray"/>
        </w:rPr>
        <w:fldChar w:fldCharType="separate"/>
      </w:r>
      <w:r>
        <w:rPr>
          <w:noProof/>
          <w:highlight w:val="lightGray"/>
        </w:rPr>
        <w:t>South Branch Little Wolf River</w:t>
      </w:r>
      <w:r>
        <w:rPr>
          <w:highlight w:val="lightGray"/>
        </w:rPr>
        <w:fldChar w:fldCharType="end"/>
      </w:r>
      <w:bookmarkEnd w:id="67"/>
      <w:r>
        <w:t xml:space="preserve"> in large sections and conforming to the contractor’s approved structure removal and clean-up plan. During superstructure removal, prevent all large pieces and minimize the number of small pieces from entering the waterway or wetland. Remove all reinforcing steel, all concrete, and all other debris that falls into the waterway or wetland. The contractor may leave limited amounts of small concrete pieces scattered over the waterway floor or wetland only if the engineer allows.</w:t>
      </w:r>
    </w:p>
    <w:p w:rsidR="00F52055" w:rsidRPr="00CB3813" w:rsidRDefault="00F52055" w:rsidP="00D439F7">
      <w:pPr>
        <w:pStyle w:val="ssParagraph"/>
      </w:pPr>
      <w:r w:rsidRPr="000A528D">
        <w:tab/>
      </w:r>
      <w:r w:rsidRPr="003B1968">
        <w:rPr>
          <w:rStyle w:val="ssParagraphNumber"/>
        </w:rPr>
        <w:t>(2)</w:t>
      </w:r>
      <w:r w:rsidRPr="000A528D">
        <w:tab/>
      </w:r>
      <w:r>
        <w:t xml:space="preserve">Submit a structure removal and clean-up plan as part of the erosion control implementation plan required </w:t>
      </w:r>
      <w:r w:rsidRPr="00CB3813">
        <w:t>under standard spec 107.20. Do not start work under the structure removal and clean-up plan without the department’s written approval of the plan. Include the following information in the structure removal and clean-up plan:</w:t>
      </w:r>
    </w:p>
    <w:p w:rsidR="00F52055" w:rsidRPr="00CB3813" w:rsidRDefault="00F52055" w:rsidP="00D439F7">
      <w:pPr>
        <w:pStyle w:val="spBullet1"/>
        <w:rPr>
          <w:sz w:val="20"/>
        </w:rPr>
      </w:pPr>
      <w:r w:rsidRPr="00CB3813">
        <w:rPr>
          <w:sz w:val="20"/>
        </w:rPr>
        <w:t>-</w:t>
      </w:r>
      <w:r w:rsidRPr="00CB3813">
        <w:rPr>
          <w:sz w:val="20"/>
        </w:rPr>
        <w:tab/>
        <w:t>Methods and schedule to remove the structure.</w:t>
      </w:r>
    </w:p>
    <w:p w:rsidR="00F52055" w:rsidRPr="00CB3813" w:rsidRDefault="00F52055" w:rsidP="00D439F7">
      <w:pPr>
        <w:pStyle w:val="spBullet1"/>
        <w:rPr>
          <w:sz w:val="20"/>
        </w:rPr>
      </w:pPr>
      <w:r w:rsidRPr="00CB3813">
        <w:rPr>
          <w:sz w:val="20"/>
        </w:rPr>
        <w:t>-</w:t>
      </w:r>
      <w:r w:rsidRPr="00CB3813">
        <w:rPr>
          <w:sz w:val="20"/>
        </w:rPr>
        <w:tab/>
        <w:t>Methods to control potentially harmful environmental impacts.</w:t>
      </w:r>
    </w:p>
    <w:p w:rsidR="00F52055" w:rsidRPr="00CB3813" w:rsidRDefault="00F52055" w:rsidP="00D439F7">
      <w:pPr>
        <w:pStyle w:val="spBullet1"/>
        <w:rPr>
          <w:sz w:val="20"/>
        </w:rPr>
      </w:pPr>
      <w:r w:rsidRPr="00CB3813">
        <w:rPr>
          <w:sz w:val="20"/>
        </w:rPr>
        <w:t>-</w:t>
      </w:r>
      <w:r w:rsidRPr="00CB3813">
        <w:rPr>
          <w:sz w:val="20"/>
        </w:rPr>
        <w:tab/>
        <w:t>Methods for superstructure removal that prevent all large pieces and minimize the number of small pieces from entering the waterway or wetlands.</w:t>
      </w:r>
    </w:p>
    <w:p w:rsidR="00F52055" w:rsidRPr="00CB3813" w:rsidRDefault="00F52055" w:rsidP="00D439F7">
      <w:pPr>
        <w:pStyle w:val="spBullet1"/>
        <w:rPr>
          <w:sz w:val="20"/>
        </w:rPr>
      </w:pPr>
      <w:r w:rsidRPr="00CB3813">
        <w:rPr>
          <w:sz w:val="20"/>
        </w:rPr>
        <w:t>-</w:t>
      </w:r>
      <w:r w:rsidRPr="00CB3813">
        <w:rPr>
          <w:sz w:val="20"/>
        </w:rPr>
        <w:tab/>
        <w:t>Methods to control dust and contain slurry.</w:t>
      </w:r>
    </w:p>
    <w:p w:rsidR="00F52055" w:rsidRPr="00CB3813" w:rsidRDefault="00F52055" w:rsidP="00D439F7">
      <w:pPr>
        <w:pStyle w:val="spBullet1"/>
        <w:rPr>
          <w:sz w:val="20"/>
        </w:rPr>
      </w:pPr>
      <w:r w:rsidRPr="00CB3813">
        <w:rPr>
          <w:sz w:val="20"/>
        </w:rPr>
        <w:t>-</w:t>
      </w:r>
      <w:r w:rsidRPr="00CB3813">
        <w:rPr>
          <w:sz w:val="20"/>
        </w:rPr>
        <w:tab/>
        <w:t>Methods for removing piers and abutments. If blasting in water, include restrictions that regulatory agencies and the contract require.</w:t>
      </w:r>
    </w:p>
    <w:p w:rsidR="00F52055" w:rsidRPr="00CB3813" w:rsidRDefault="00F52055" w:rsidP="00D439F7">
      <w:pPr>
        <w:pStyle w:val="spBullet1"/>
        <w:rPr>
          <w:sz w:val="20"/>
        </w:rPr>
      </w:pPr>
      <w:r w:rsidRPr="00CB3813">
        <w:rPr>
          <w:sz w:val="20"/>
        </w:rPr>
        <w:t>-</w:t>
      </w:r>
      <w:r w:rsidRPr="00CB3813">
        <w:rPr>
          <w:sz w:val="20"/>
        </w:rPr>
        <w:tab/>
        <w:t>Methods for cleaning the waterway or wetlands.</w:t>
      </w:r>
    </w:p>
    <w:p w:rsidR="00F52055" w:rsidRPr="00CB3813" w:rsidRDefault="00F52055" w:rsidP="00D439F7">
      <w:pPr>
        <w:pStyle w:val="ssParagraph"/>
      </w:pPr>
      <w:r w:rsidRPr="00CB3813">
        <w:tab/>
      </w:r>
      <w:r w:rsidRPr="00CB3813">
        <w:rPr>
          <w:rStyle w:val="ssParagraphNumber"/>
          <w:sz w:val="20"/>
        </w:rPr>
        <w:t>(3)</w:t>
      </w:r>
      <w:r w:rsidRPr="00CB3813">
        <w:tab/>
        <w:t>If stockpiling spoil material, place it on an upland site an adequate distance from the waterway, wetland, or any open water created by excavation. Install silt fence between the spoil pile and the waterway, wetland, or excavation site.</w:t>
      </w:r>
    </w:p>
    <w:p w:rsidR="00F52055" w:rsidRPr="00CB3813" w:rsidRDefault="00F52055" w:rsidP="00D439F7">
      <w:pPr>
        <w:pStyle w:val="spUndefined"/>
        <w:rPr>
          <w:rFonts w:cs="Arial"/>
          <w:i/>
          <w:szCs w:val="20"/>
        </w:rPr>
      </w:pPr>
      <w:r w:rsidRPr="00CB3813">
        <w:rPr>
          <w:rFonts w:cs="Arial"/>
          <w:i/>
          <w:szCs w:val="20"/>
        </w:rPr>
        <w:t>Add the following Removing Old Structure bid item to standard spec 203.5.1:</w:t>
      </w:r>
    </w:p>
    <w:p w:rsidR="00F52055" w:rsidRPr="00CB3813" w:rsidRDefault="00F52055" w:rsidP="00D439F7">
      <w:pPr>
        <w:pStyle w:val="ssBidItem"/>
        <w:tabs>
          <w:tab w:val="clear" w:pos="9360"/>
          <w:tab w:val="right" w:pos="8010"/>
        </w:tabs>
        <w:rPr>
          <w:sz w:val="20"/>
        </w:rPr>
      </w:pPr>
      <w:r w:rsidRPr="00CB3813">
        <w:rPr>
          <w:sz w:val="20"/>
        </w:rPr>
        <w:t>ITEM NUMBER</w:t>
      </w:r>
      <w:r w:rsidRPr="00CB3813">
        <w:rPr>
          <w:sz w:val="20"/>
        </w:rPr>
        <w:tab/>
        <w:t>DESCRIPTION</w:t>
      </w:r>
      <w:r w:rsidRPr="00CB3813">
        <w:rPr>
          <w:sz w:val="20"/>
        </w:rPr>
        <w:tab/>
      </w:r>
      <w:r w:rsidRPr="00CB3813">
        <w:rPr>
          <w:sz w:val="20"/>
        </w:rPr>
        <w:tab/>
        <w:t>UNIT</w:t>
      </w:r>
    </w:p>
    <w:p w:rsidR="00F52055" w:rsidRPr="00CB3813" w:rsidRDefault="00F52055" w:rsidP="00D439F7">
      <w:pPr>
        <w:pStyle w:val="ssBidItem"/>
        <w:tabs>
          <w:tab w:val="clear" w:pos="9360"/>
          <w:tab w:val="right" w:pos="8010"/>
        </w:tabs>
        <w:rPr>
          <w:sz w:val="20"/>
        </w:rPr>
      </w:pPr>
      <w:r w:rsidRPr="00CB3813">
        <w:rPr>
          <w:sz w:val="20"/>
        </w:rPr>
        <w:t>203.0600.S</w:t>
      </w:r>
      <w:r w:rsidRPr="00CB3813">
        <w:rPr>
          <w:sz w:val="20"/>
        </w:rPr>
        <w:tab/>
        <w:t xml:space="preserve">Removing Old Structure Over Waterway </w:t>
      </w:r>
      <w:proofErr w:type="gramStart"/>
      <w:r w:rsidRPr="00CB3813">
        <w:rPr>
          <w:sz w:val="20"/>
        </w:rPr>
        <w:t>With</w:t>
      </w:r>
      <w:proofErr w:type="gramEnd"/>
      <w:r w:rsidRPr="00CB3813">
        <w:rPr>
          <w:sz w:val="20"/>
        </w:rPr>
        <w:t xml:space="preserve"> Minimal Debris Station </w:t>
      </w:r>
      <w:r w:rsidRPr="00CB3813">
        <w:rPr>
          <w:sz w:val="20"/>
          <w:highlight w:val="lightGray"/>
        </w:rPr>
        <w:fldChar w:fldCharType="begin">
          <w:ffData>
            <w:name w:val=""/>
            <w:enabled/>
            <w:calcOnExit w:val="0"/>
            <w:textInput>
              <w:default w:val="10+00"/>
            </w:textInput>
          </w:ffData>
        </w:fldChar>
      </w:r>
      <w:r w:rsidRPr="00CB3813">
        <w:rPr>
          <w:sz w:val="20"/>
          <w:highlight w:val="lightGray"/>
        </w:rPr>
        <w:instrText xml:space="preserve"> FORMTEXT </w:instrText>
      </w:r>
      <w:r w:rsidRPr="00CB3813">
        <w:rPr>
          <w:sz w:val="20"/>
          <w:highlight w:val="lightGray"/>
        </w:rPr>
      </w:r>
      <w:r w:rsidRPr="00CB3813">
        <w:rPr>
          <w:sz w:val="20"/>
          <w:highlight w:val="lightGray"/>
        </w:rPr>
        <w:fldChar w:fldCharType="separate"/>
      </w:r>
      <w:r w:rsidRPr="00CB3813">
        <w:rPr>
          <w:noProof/>
          <w:sz w:val="20"/>
          <w:highlight w:val="lightGray"/>
        </w:rPr>
        <w:t>10+00</w:t>
      </w:r>
      <w:r w:rsidRPr="00CB3813">
        <w:rPr>
          <w:sz w:val="20"/>
          <w:highlight w:val="lightGray"/>
        </w:rPr>
        <w:fldChar w:fldCharType="end"/>
      </w:r>
      <w:r w:rsidRPr="00CB3813">
        <w:rPr>
          <w:sz w:val="20"/>
        </w:rPr>
        <w:tab/>
        <w:t>LS</w:t>
      </w:r>
    </w:p>
    <w:p w:rsidR="00F52055" w:rsidRPr="00CB3813" w:rsidRDefault="00F52055" w:rsidP="00D439F7">
      <w:pPr>
        <w:pStyle w:val="spVersion"/>
        <w:rPr>
          <w:sz w:val="20"/>
          <w:szCs w:val="20"/>
        </w:rPr>
      </w:pPr>
      <w:r w:rsidRPr="00CB3813">
        <w:rPr>
          <w:sz w:val="20"/>
          <w:szCs w:val="20"/>
        </w:rPr>
        <w:t>stp-203-020 (20190618)</w:t>
      </w:r>
    </w:p>
    <w:p w:rsidR="001A572E" w:rsidRPr="00BB2F2F" w:rsidRDefault="001A572E" w:rsidP="00D439F7">
      <w:pPr>
        <w:pStyle w:val="1Heading1"/>
        <w:numPr>
          <w:ilvl w:val="0"/>
          <w:numId w:val="1"/>
        </w:numPr>
        <w:ind w:left="0" w:hanging="720"/>
        <w:rPr>
          <w:rFonts w:cs="Arial"/>
        </w:rPr>
      </w:pPr>
      <w:bookmarkStart w:id="68" w:name="_Toc23400024"/>
      <w:r w:rsidRPr="003E0862">
        <w:rPr>
          <w:rFonts w:cs="Arial"/>
        </w:rPr>
        <w:t>Protecting Concrete.</w:t>
      </w:r>
      <w:bookmarkEnd w:id="68"/>
    </w:p>
    <w:p w:rsidR="001A572E" w:rsidRDefault="001A572E" w:rsidP="00D439F7">
      <w:pPr>
        <w:pStyle w:val="spParagraph"/>
        <w:rPr>
          <w:i/>
        </w:rPr>
      </w:pPr>
      <w:r>
        <w:rPr>
          <w:i/>
        </w:rPr>
        <w:t>Add the following to standard spec 415.3.14:</w:t>
      </w:r>
    </w:p>
    <w:p w:rsidR="001A572E" w:rsidRDefault="001A572E" w:rsidP="00D439F7">
      <w:pPr>
        <w:pStyle w:val="spParagraph"/>
      </w:pPr>
      <w:r>
        <w:t>Provide a minimum of one concrete finisher to remain on the project site after final finishing of all concrete surfaces until such time as the concrete has hardened sufficiently to resist surface scarring caused by footprints, handprints, or any other type of imprint, malicious or otherwise. The finisher shall actively and continuously patrol the newly placed concrete, and repair any damage to the surface that might be sustained as described above.</w:t>
      </w:r>
    </w:p>
    <w:p w:rsidR="001A572E" w:rsidRDefault="001A572E" w:rsidP="00D439F7">
      <w:pPr>
        <w:pStyle w:val="spParagraph"/>
      </w:pPr>
      <w:r>
        <w:t>The cost for providing the finisher(s), necessary equipment, and materials shall be considered incidental to the contract unit price for each concrete item.</w:t>
      </w:r>
    </w:p>
    <w:p w:rsidR="001A572E" w:rsidRDefault="001A572E" w:rsidP="00D439F7">
      <w:pPr>
        <w:pStyle w:val="spVersion"/>
      </w:pPr>
      <w:r>
        <w:t>ncr-415-005 (20141015)</w:t>
      </w:r>
    </w:p>
    <w:p w:rsidR="00F52055" w:rsidRPr="00B04CCE" w:rsidRDefault="00F52055" w:rsidP="00D439F7">
      <w:pPr>
        <w:pStyle w:val="1Heading1"/>
        <w:numPr>
          <w:ilvl w:val="0"/>
          <w:numId w:val="1"/>
        </w:numPr>
        <w:ind w:left="0" w:hanging="720"/>
      </w:pPr>
      <w:bookmarkStart w:id="69" w:name="_Toc12547259"/>
      <w:bookmarkStart w:id="70" w:name="_Toc12547395"/>
      <w:bookmarkStart w:id="71" w:name="_Toc12619466"/>
      <w:bookmarkStart w:id="72" w:name="_Toc12547260"/>
      <w:bookmarkStart w:id="73" w:name="_Toc12547396"/>
      <w:bookmarkStart w:id="74" w:name="_Toc12619467"/>
      <w:bookmarkStart w:id="75" w:name="_Toc12547261"/>
      <w:bookmarkStart w:id="76" w:name="_Toc12547397"/>
      <w:bookmarkStart w:id="77" w:name="_Toc12619468"/>
      <w:bookmarkStart w:id="78" w:name="_Toc12547262"/>
      <w:bookmarkStart w:id="79" w:name="_Toc12547398"/>
      <w:bookmarkStart w:id="80" w:name="_Toc12619469"/>
      <w:bookmarkStart w:id="81" w:name="_Toc12547263"/>
      <w:bookmarkStart w:id="82" w:name="_Toc12547399"/>
      <w:bookmarkStart w:id="83" w:name="_Toc12619470"/>
      <w:bookmarkStart w:id="84" w:name="_Toc12547264"/>
      <w:bookmarkStart w:id="85" w:name="_Toc12547400"/>
      <w:bookmarkStart w:id="86" w:name="_Toc12619471"/>
      <w:bookmarkStart w:id="87" w:name="_Toc12547265"/>
      <w:bookmarkStart w:id="88" w:name="_Toc12547401"/>
      <w:bookmarkStart w:id="89" w:name="_Toc12619472"/>
      <w:bookmarkStart w:id="90" w:name="_Toc12547269"/>
      <w:bookmarkStart w:id="91" w:name="_Toc12547405"/>
      <w:bookmarkStart w:id="92" w:name="_Toc12619476"/>
      <w:bookmarkStart w:id="93" w:name="_Toc12547272"/>
      <w:bookmarkStart w:id="94" w:name="_Toc12547408"/>
      <w:bookmarkStart w:id="95" w:name="_Toc12619479"/>
      <w:bookmarkStart w:id="96" w:name="_Toc12547276"/>
      <w:bookmarkStart w:id="97" w:name="_Toc12547412"/>
      <w:bookmarkStart w:id="98" w:name="_Toc12619483"/>
      <w:bookmarkStart w:id="99" w:name="_Toc12547279"/>
      <w:bookmarkStart w:id="100" w:name="_Toc12547415"/>
      <w:bookmarkStart w:id="101" w:name="_Toc12619486"/>
      <w:bookmarkStart w:id="102" w:name="_Toc12547282"/>
      <w:bookmarkStart w:id="103" w:name="_Toc12547418"/>
      <w:bookmarkStart w:id="104" w:name="_Toc12619489"/>
      <w:bookmarkStart w:id="105" w:name="_Toc12547283"/>
      <w:bookmarkStart w:id="106" w:name="_Toc12547419"/>
      <w:bookmarkStart w:id="107" w:name="_Toc12619490"/>
      <w:bookmarkStart w:id="108" w:name="_Toc12547294"/>
      <w:bookmarkStart w:id="109" w:name="_Toc12547430"/>
      <w:bookmarkStart w:id="110" w:name="_Toc12619501"/>
      <w:bookmarkStart w:id="111" w:name="_Toc12547295"/>
      <w:bookmarkStart w:id="112" w:name="_Toc12547431"/>
      <w:bookmarkStart w:id="113" w:name="_Toc12619502"/>
      <w:bookmarkStart w:id="114" w:name="_Toc12547296"/>
      <w:bookmarkStart w:id="115" w:name="_Toc12547432"/>
      <w:bookmarkStart w:id="116" w:name="_Toc12619503"/>
      <w:bookmarkStart w:id="117" w:name="_Toc12547297"/>
      <w:bookmarkStart w:id="118" w:name="_Toc12547433"/>
      <w:bookmarkStart w:id="119" w:name="_Toc12619504"/>
      <w:bookmarkStart w:id="120" w:name="_Toc12547298"/>
      <w:bookmarkStart w:id="121" w:name="_Toc12547434"/>
      <w:bookmarkStart w:id="122" w:name="_Toc12619505"/>
      <w:bookmarkStart w:id="123" w:name="_Toc12547299"/>
      <w:bookmarkStart w:id="124" w:name="_Toc12547435"/>
      <w:bookmarkStart w:id="125" w:name="_Toc12619506"/>
      <w:bookmarkStart w:id="126" w:name="_Toc12547300"/>
      <w:bookmarkStart w:id="127" w:name="_Toc12547436"/>
      <w:bookmarkStart w:id="128" w:name="_Toc12619507"/>
      <w:bookmarkStart w:id="129" w:name="_Toc12547301"/>
      <w:bookmarkStart w:id="130" w:name="_Toc12547437"/>
      <w:bookmarkStart w:id="131" w:name="_Toc12619508"/>
      <w:bookmarkStart w:id="132" w:name="_Toc12547302"/>
      <w:bookmarkStart w:id="133" w:name="_Toc12547438"/>
      <w:bookmarkStart w:id="134" w:name="_Toc12619509"/>
      <w:bookmarkStart w:id="135" w:name="_Toc12547303"/>
      <w:bookmarkStart w:id="136" w:name="_Toc12547439"/>
      <w:bookmarkStart w:id="137" w:name="_Toc12619510"/>
      <w:bookmarkStart w:id="138" w:name="_Toc12547304"/>
      <w:bookmarkStart w:id="139" w:name="_Toc12547440"/>
      <w:bookmarkStart w:id="140" w:name="_Toc12619511"/>
      <w:bookmarkStart w:id="141" w:name="_Toc12547305"/>
      <w:bookmarkStart w:id="142" w:name="_Toc12547441"/>
      <w:bookmarkStart w:id="143" w:name="_Toc12619512"/>
      <w:bookmarkStart w:id="144" w:name="_Toc12547306"/>
      <w:bookmarkStart w:id="145" w:name="_Toc12547442"/>
      <w:bookmarkStart w:id="146" w:name="_Toc12619513"/>
      <w:bookmarkStart w:id="147" w:name="_Toc12547307"/>
      <w:bookmarkStart w:id="148" w:name="_Toc12547443"/>
      <w:bookmarkStart w:id="149" w:name="_Toc12619514"/>
      <w:bookmarkStart w:id="150" w:name="_Toc12547308"/>
      <w:bookmarkStart w:id="151" w:name="_Toc12547444"/>
      <w:bookmarkStart w:id="152" w:name="_Toc12619515"/>
      <w:bookmarkStart w:id="153" w:name="_Toc12547309"/>
      <w:bookmarkStart w:id="154" w:name="_Toc12547445"/>
      <w:bookmarkStart w:id="155" w:name="_Toc12619516"/>
      <w:bookmarkStart w:id="156" w:name="_Toc12547310"/>
      <w:bookmarkStart w:id="157" w:name="_Toc12547446"/>
      <w:bookmarkStart w:id="158" w:name="_Toc12619517"/>
      <w:bookmarkStart w:id="159" w:name="_Toc12547311"/>
      <w:bookmarkStart w:id="160" w:name="_Toc12547447"/>
      <w:bookmarkStart w:id="161" w:name="_Toc12619518"/>
      <w:bookmarkStart w:id="162" w:name="_Toc12547312"/>
      <w:bookmarkStart w:id="163" w:name="_Toc12547448"/>
      <w:bookmarkStart w:id="164" w:name="_Toc12619519"/>
      <w:bookmarkStart w:id="165" w:name="_Toc12547313"/>
      <w:bookmarkStart w:id="166" w:name="_Toc12547449"/>
      <w:bookmarkStart w:id="167" w:name="_Toc12619520"/>
      <w:bookmarkStart w:id="168" w:name="_Toc12547314"/>
      <w:bookmarkStart w:id="169" w:name="_Toc12547450"/>
      <w:bookmarkStart w:id="170" w:name="_Toc12619521"/>
      <w:bookmarkStart w:id="171" w:name="_Toc12547315"/>
      <w:bookmarkStart w:id="172" w:name="_Toc12547451"/>
      <w:bookmarkStart w:id="173" w:name="_Toc12619522"/>
      <w:bookmarkStart w:id="174" w:name="_Toc12547316"/>
      <w:bookmarkStart w:id="175" w:name="_Toc12547452"/>
      <w:bookmarkStart w:id="176" w:name="_Toc12619523"/>
      <w:bookmarkStart w:id="177" w:name="_Toc12547317"/>
      <w:bookmarkStart w:id="178" w:name="_Toc12547453"/>
      <w:bookmarkStart w:id="179" w:name="_Toc12619524"/>
      <w:bookmarkStart w:id="180" w:name="_Toc2340002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B04CCE">
        <w:lastRenderedPageBreak/>
        <w:t xml:space="preserve">Concrete Staining Multi-Color </w:t>
      </w:r>
      <w:r w:rsidR="00BC4FC3">
        <w:rPr>
          <w:highlight w:val="lightGray"/>
        </w:rPr>
        <w:fldChar w:fldCharType="begin">
          <w:ffData>
            <w:name w:val=""/>
            <w:enabled/>
            <w:calcOnExit w:val="0"/>
            <w:textInput>
              <w:default w:val="B-68-0133"/>
            </w:textInput>
          </w:ffData>
        </w:fldChar>
      </w:r>
      <w:r w:rsidR="00BC4FC3">
        <w:rPr>
          <w:highlight w:val="lightGray"/>
        </w:rPr>
        <w:instrText xml:space="preserve"> FORMTEXT </w:instrText>
      </w:r>
      <w:r w:rsidR="00BC4FC3">
        <w:rPr>
          <w:highlight w:val="lightGray"/>
        </w:rPr>
      </w:r>
      <w:r w:rsidR="00BC4FC3">
        <w:rPr>
          <w:highlight w:val="lightGray"/>
        </w:rPr>
        <w:fldChar w:fldCharType="separate"/>
      </w:r>
      <w:r w:rsidR="00BC4FC3">
        <w:rPr>
          <w:noProof/>
          <w:highlight w:val="lightGray"/>
        </w:rPr>
        <w:t>B-68-0133</w:t>
      </w:r>
      <w:r w:rsidR="00BC4FC3">
        <w:rPr>
          <w:highlight w:val="lightGray"/>
        </w:rPr>
        <w:fldChar w:fldCharType="end"/>
      </w:r>
      <w:r w:rsidRPr="00B04CCE">
        <w:t>, Item 517.1015.S.</w:t>
      </w:r>
      <w:bookmarkEnd w:id="180"/>
    </w:p>
    <w:p w:rsidR="00F52055" w:rsidRDefault="00F52055" w:rsidP="00D439F7">
      <w:pPr>
        <w:pStyle w:val="spParagraph"/>
      </w:pPr>
      <w:r w:rsidRPr="00961652">
        <w:rPr>
          <w:rStyle w:val="spHeading"/>
        </w:rPr>
        <w:t>A  Description</w:t>
      </w:r>
    </w:p>
    <w:p w:rsidR="00F52055" w:rsidRDefault="00F52055" w:rsidP="00D439F7">
      <w:pPr>
        <w:pStyle w:val="spParagraph"/>
      </w:pPr>
      <w:r>
        <w:t>This special provision describes providing a multi-color concrete stain on the exposed concrete surfaces of the structure as the plan details show.</w:t>
      </w:r>
    </w:p>
    <w:p w:rsidR="00F52055" w:rsidRDefault="00F52055" w:rsidP="00D439F7">
      <w:pPr>
        <w:pStyle w:val="spParagraph"/>
      </w:pPr>
      <w:r w:rsidRPr="00961652">
        <w:rPr>
          <w:rStyle w:val="spHeading"/>
        </w:rPr>
        <w:t>B  Materials</w:t>
      </w:r>
    </w:p>
    <w:p w:rsidR="00F52055" w:rsidRDefault="00F52055" w:rsidP="00D439F7">
      <w:pPr>
        <w:pStyle w:val="spParagraph"/>
      </w:pPr>
      <w:proofErr w:type="gramStart"/>
      <w:r w:rsidRPr="00961652">
        <w:rPr>
          <w:rStyle w:val="spHeading"/>
        </w:rPr>
        <w:t>B.1  Mortar</w:t>
      </w:r>
      <w:proofErr w:type="gramEnd"/>
    </w:p>
    <w:p w:rsidR="00F52055" w:rsidRPr="00CB3813" w:rsidRDefault="00F52055" w:rsidP="00D439F7">
      <w:pPr>
        <w:pStyle w:val="spParagraph"/>
        <w:rPr>
          <w:szCs w:val="20"/>
        </w:rPr>
      </w:pPr>
      <w:r w:rsidRPr="00CB3813">
        <w:rPr>
          <w:szCs w:val="20"/>
        </w:rPr>
        <w:t>Use mortar for sack rubbing the concrete surfaces as given in standard spec 502.3.7.5 or use one of the following products: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419"/>
      </w:tblGrid>
      <w:tr w:rsidR="00F52055" w:rsidRPr="00CB3813" w:rsidTr="001D16BE">
        <w:trPr>
          <w:jc w:val="right"/>
        </w:trPr>
        <w:tc>
          <w:tcPr>
            <w:tcW w:w="4162" w:type="dxa"/>
            <w:vAlign w:val="center"/>
          </w:tcPr>
          <w:p w:rsidR="00F52055" w:rsidRPr="00CB3813" w:rsidRDefault="00F52055" w:rsidP="00D439F7">
            <w:pPr>
              <w:pStyle w:val="spTable"/>
              <w:jc w:val="left"/>
              <w:rPr>
                <w:sz w:val="20"/>
                <w:szCs w:val="20"/>
              </w:rPr>
            </w:pPr>
            <w:r w:rsidRPr="00CB3813">
              <w:rPr>
                <w:sz w:val="20"/>
                <w:szCs w:val="20"/>
              </w:rPr>
              <w:t xml:space="preserve">Preblended, Packaged Type II Cement: </w:t>
            </w:r>
          </w:p>
        </w:tc>
        <w:tc>
          <w:tcPr>
            <w:tcW w:w="4419" w:type="dxa"/>
            <w:vAlign w:val="center"/>
          </w:tcPr>
          <w:p w:rsidR="00F52055" w:rsidRPr="00CB3813" w:rsidRDefault="00F52055" w:rsidP="00D439F7">
            <w:pPr>
              <w:pStyle w:val="spTable"/>
              <w:jc w:val="left"/>
              <w:rPr>
                <w:sz w:val="20"/>
                <w:szCs w:val="20"/>
              </w:rPr>
            </w:pPr>
            <w:r w:rsidRPr="00CB3813">
              <w:rPr>
                <w:sz w:val="20"/>
                <w:szCs w:val="20"/>
              </w:rPr>
              <w:t>Tri-Mix by TK Products</w:t>
            </w:r>
          </w:p>
        </w:tc>
      </w:tr>
      <w:tr w:rsidR="00F52055" w:rsidRPr="00CB3813" w:rsidTr="001D16BE">
        <w:trPr>
          <w:jc w:val="right"/>
        </w:trPr>
        <w:tc>
          <w:tcPr>
            <w:tcW w:w="4162" w:type="dxa"/>
            <w:vAlign w:val="center"/>
          </w:tcPr>
          <w:p w:rsidR="00F52055" w:rsidRPr="00CB3813" w:rsidRDefault="00F52055" w:rsidP="00D439F7">
            <w:pPr>
              <w:pStyle w:val="spTable"/>
              <w:jc w:val="left"/>
              <w:rPr>
                <w:sz w:val="20"/>
                <w:szCs w:val="20"/>
              </w:rPr>
            </w:pPr>
          </w:p>
        </w:tc>
        <w:tc>
          <w:tcPr>
            <w:tcW w:w="4419" w:type="dxa"/>
            <w:vAlign w:val="center"/>
          </w:tcPr>
          <w:p w:rsidR="00F52055" w:rsidRPr="00CB3813" w:rsidRDefault="00F52055" w:rsidP="00D439F7">
            <w:pPr>
              <w:pStyle w:val="spTable"/>
              <w:jc w:val="left"/>
              <w:rPr>
                <w:sz w:val="20"/>
                <w:szCs w:val="20"/>
              </w:rPr>
            </w:pPr>
            <w:proofErr w:type="spellStart"/>
            <w:r w:rsidRPr="00CB3813">
              <w:rPr>
                <w:sz w:val="20"/>
                <w:szCs w:val="20"/>
              </w:rPr>
              <w:t>Thoroseal</w:t>
            </w:r>
            <w:proofErr w:type="spellEnd"/>
            <w:r w:rsidRPr="00CB3813">
              <w:rPr>
                <w:sz w:val="20"/>
                <w:szCs w:val="20"/>
              </w:rPr>
              <w:t xml:space="preserve"> Pearl Gray by </w:t>
            </w:r>
            <w:proofErr w:type="spellStart"/>
            <w:r w:rsidRPr="00CB3813">
              <w:rPr>
                <w:sz w:val="20"/>
                <w:szCs w:val="20"/>
              </w:rPr>
              <w:t>Thoro</w:t>
            </w:r>
            <w:proofErr w:type="spellEnd"/>
            <w:r w:rsidRPr="00CB3813">
              <w:rPr>
                <w:sz w:val="20"/>
                <w:szCs w:val="20"/>
              </w:rPr>
              <w:t xml:space="preserve"> Products</w:t>
            </w:r>
          </w:p>
        </w:tc>
      </w:tr>
    </w:tbl>
    <w:p w:rsidR="00F52055" w:rsidRPr="00CB3813" w:rsidRDefault="00F52055" w:rsidP="00D439F7">
      <w:pPr>
        <w:pStyle w:val="spParagraph"/>
        <w:rPr>
          <w:szCs w:val="20"/>
        </w:rPr>
      </w:pPr>
      <w:r w:rsidRPr="00CB3813">
        <w:rPr>
          <w:szCs w:val="20"/>
        </w:rPr>
        <w:t>The mortar shall contain one of the following acrylic bonding admixtures mixed and applied according to manufacturer’s recommendations: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36"/>
      </w:tblGrid>
      <w:tr w:rsidR="00F52055" w:rsidRPr="00CB3813" w:rsidTr="001D16BE">
        <w:trPr>
          <w:jc w:val="center"/>
        </w:trPr>
        <w:tc>
          <w:tcPr>
            <w:tcW w:w="3109" w:type="dxa"/>
            <w:vAlign w:val="center"/>
          </w:tcPr>
          <w:p w:rsidR="00F52055" w:rsidRPr="00CB3813" w:rsidRDefault="00F52055" w:rsidP="00D439F7">
            <w:pPr>
              <w:pStyle w:val="spTable"/>
              <w:jc w:val="left"/>
              <w:rPr>
                <w:sz w:val="20"/>
                <w:szCs w:val="20"/>
              </w:rPr>
            </w:pPr>
            <w:r w:rsidRPr="00CB3813">
              <w:rPr>
                <w:sz w:val="20"/>
                <w:szCs w:val="20"/>
              </w:rPr>
              <w:t>Acrylic Bonding Admixture:</w:t>
            </w:r>
          </w:p>
        </w:tc>
        <w:tc>
          <w:tcPr>
            <w:tcW w:w="3136" w:type="dxa"/>
            <w:vAlign w:val="center"/>
          </w:tcPr>
          <w:p w:rsidR="00F52055" w:rsidRPr="00CB3813" w:rsidRDefault="00F52055" w:rsidP="00D439F7">
            <w:pPr>
              <w:pStyle w:val="spTable"/>
              <w:jc w:val="left"/>
              <w:rPr>
                <w:sz w:val="20"/>
                <w:szCs w:val="20"/>
              </w:rPr>
            </w:pPr>
            <w:r w:rsidRPr="00CB3813">
              <w:rPr>
                <w:sz w:val="20"/>
                <w:szCs w:val="20"/>
              </w:rPr>
              <w:t>TK-225 by TK Products</w:t>
            </w:r>
          </w:p>
        </w:tc>
      </w:tr>
      <w:tr w:rsidR="00F52055" w:rsidRPr="00CB3813" w:rsidTr="001D16BE">
        <w:trPr>
          <w:jc w:val="center"/>
        </w:trPr>
        <w:tc>
          <w:tcPr>
            <w:tcW w:w="3109" w:type="dxa"/>
            <w:vAlign w:val="center"/>
          </w:tcPr>
          <w:p w:rsidR="00F52055" w:rsidRPr="00CB3813" w:rsidRDefault="00F52055" w:rsidP="00D439F7">
            <w:pPr>
              <w:pStyle w:val="spTable"/>
              <w:jc w:val="left"/>
              <w:rPr>
                <w:sz w:val="20"/>
                <w:szCs w:val="20"/>
              </w:rPr>
            </w:pPr>
          </w:p>
        </w:tc>
        <w:tc>
          <w:tcPr>
            <w:tcW w:w="3136" w:type="dxa"/>
            <w:vAlign w:val="center"/>
          </w:tcPr>
          <w:p w:rsidR="00F52055" w:rsidRPr="00CB3813" w:rsidRDefault="00F52055" w:rsidP="00D439F7">
            <w:pPr>
              <w:pStyle w:val="spTable"/>
              <w:jc w:val="left"/>
              <w:rPr>
                <w:sz w:val="20"/>
                <w:szCs w:val="20"/>
              </w:rPr>
            </w:pPr>
            <w:proofErr w:type="spellStart"/>
            <w:r w:rsidRPr="00CB3813">
              <w:rPr>
                <w:sz w:val="20"/>
                <w:szCs w:val="20"/>
              </w:rPr>
              <w:t>Achro</w:t>
            </w:r>
            <w:proofErr w:type="spellEnd"/>
            <w:r w:rsidRPr="00CB3813">
              <w:rPr>
                <w:sz w:val="20"/>
                <w:szCs w:val="20"/>
              </w:rPr>
              <w:t xml:space="preserve"> 60 by </w:t>
            </w:r>
            <w:proofErr w:type="spellStart"/>
            <w:r w:rsidRPr="00CB3813">
              <w:rPr>
                <w:sz w:val="20"/>
                <w:szCs w:val="20"/>
              </w:rPr>
              <w:t>Thoro</w:t>
            </w:r>
            <w:proofErr w:type="spellEnd"/>
            <w:r w:rsidRPr="00CB3813">
              <w:rPr>
                <w:sz w:val="20"/>
                <w:szCs w:val="20"/>
              </w:rPr>
              <w:t xml:space="preserve"> Products</w:t>
            </w:r>
          </w:p>
        </w:tc>
      </w:tr>
      <w:tr w:rsidR="00F52055" w:rsidRPr="00CB3813" w:rsidTr="001D16BE">
        <w:trPr>
          <w:jc w:val="center"/>
        </w:trPr>
        <w:tc>
          <w:tcPr>
            <w:tcW w:w="3109" w:type="dxa"/>
            <w:vAlign w:val="center"/>
          </w:tcPr>
          <w:p w:rsidR="00F52055" w:rsidRPr="00CB3813" w:rsidRDefault="00F52055" w:rsidP="00D439F7">
            <w:pPr>
              <w:pStyle w:val="spTable"/>
              <w:jc w:val="left"/>
              <w:rPr>
                <w:sz w:val="20"/>
                <w:szCs w:val="20"/>
              </w:rPr>
            </w:pPr>
          </w:p>
        </w:tc>
        <w:tc>
          <w:tcPr>
            <w:tcW w:w="3136" w:type="dxa"/>
            <w:vAlign w:val="center"/>
          </w:tcPr>
          <w:p w:rsidR="00F52055" w:rsidRPr="00CB3813" w:rsidRDefault="00F52055" w:rsidP="00D439F7">
            <w:pPr>
              <w:pStyle w:val="spTable"/>
              <w:jc w:val="left"/>
              <w:rPr>
                <w:sz w:val="20"/>
                <w:szCs w:val="20"/>
              </w:rPr>
            </w:pPr>
            <w:proofErr w:type="spellStart"/>
            <w:r w:rsidRPr="00CB3813">
              <w:rPr>
                <w:sz w:val="20"/>
                <w:szCs w:val="20"/>
              </w:rPr>
              <w:t>Achro</w:t>
            </w:r>
            <w:proofErr w:type="spellEnd"/>
            <w:r w:rsidRPr="00CB3813">
              <w:rPr>
                <w:sz w:val="20"/>
                <w:szCs w:val="20"/>
              </w:rPr>
              <w:t xml:space="preserve"> Set by Master Builders</w:t>
            </w:r>
          </w:p>
        </w:tc>
      </w:tr>
    </w:tbl>
    <w:p w:rsidR="00F52055" w:rsidRPr="00961652" w:rsidRDefault="00F52055" w:rsidP="00D439F7">
      <w:pPr>
        <w:pStyle w:val="spParagraph"/>
        <w:rPr>
          <w:rStyle w:val="spHeading"/>
        </w:rPr>
      </w:pPr>
      <w:proofErr w:type="gramStart"/>
      <w:r w:rsidRPr="00961652">
        <w:rPr>
          <w:rStyle w:val="spHeading"/>
        </w:rPr>
        <w:t>B.2  Concrete</w:t>
      </w:r>
      <w:proofErr w:type="gramEnd"/>
      <w:r w:rsidRPr="00961652">
        <w:rPr>
          <w:rStyle w:val="spHeading"/>
        </w:rPr>
        <w:t xml:space="preserve"> Stain</w:t>
      </w:r>
    </w:p>
    <w:p w:rsidR="00F52055" w:rsidRPr="00CB3813" w:rsidRDefault="00F52055" w:rsidP="00D439F7">
      <w:pPr>
        <w:pStyle w:val="spParagraph"/>
        <w:rPr>
          <w:rFonts w:cs="Arial"/>
          <w:szCs w:val="20"/>
        </w:rPr>
      </w:pPr>
      <w:r w:rsidRPr="00317FBB">
        <w:rPr>
          <w:rFonts w:cs="Arial"/>
        </w:rPr>
        <w:t xml:space="preserve">Use concrete stain manufactured for use on exterior concrete surfaces. Use the following products, or equal as </w:t>
      </w:r>
      <w:r w:rsidRPr="00CB3813">
        <w:rPr>
          <w:rFonts w:cs="Arial"/>
          <w:szCs w:val="20"/>
        </w:rPr>
        <w:t>approved by the department: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F52055" w:rsidRPr="00CB3813" w:rsidTr="001D16BE">
        <w:tc>
          <w:tcPr>
            <w:tcW w:w="8280" w:type="dxa"/>
            <w:vAlign w:val="center"/>
          </w:tcPr>
          <w:p w:rsidR="00F52055" w:rsidRPr="00CB3813" w:rsidRDefault="00F52055" w:rsidP="00D439F7">
            <w:pPr>
              <w:pStyle w:val="spTable"/>
              <w:jc w:val="left"/>
              <w:rPr>
                <w:sz w:val="20"/>
                <w:szCs w:val="20"/>
              </w:rPr>
            </w:pPr>
            <w:r w:rsidRPr="00CB3813">
              <w:rPr>
                <w:sz w:val="20"/>
                <w:szCs w:val="20"/>
              </w:rPr>
              <w:t xml:space="preserve">Tri-Sheen Concrete </w:t>
            </w:r>
            <w:proofErr w:type="spellStart"/>
            <w:r w:rsidRPr="00CB3813">
              <w:rPr>
                <w:sz w:val="20"/>
                <w:szCs w:val="20"/>
              </w:rPr>
              <w:t>Surfacer</w:t>
            </w:r>
            <w:proofErr w:type="spellEnd"/>
            <w:r w:rsidRPr="00CB3813">
              <w:rPr>
                <w:sz w:val="20"/>
                <w:szCs w:val="20"/>
              </w:rPr>
              <w:t>, Smooth by TK Products</w:t>
            </w:r>
          </w:p>
        </w:tc>
      </w:tr>
      <w:tr w:rsidR="00F52055" w:rsidRPr="00CB3813" w:rsidTr="001D16BE">
        <w:tc>
          <w:tcPr>
            <w:tcW w:w="8280" w:type="dxa"/>
            <w:vAlign w:val="center"/>
          </w:tcPr>
          <w:p w:rsidR="00F52055" w:rsidRPr="00CB3813" w:rsidRDefault="00F52055" w:rsidP="00D439F7">
            <w:pPr>
              <w:pStyle w:val="spTable"/>
              <w:jc w:val="left"/>
              <w:rPr>
                <w:sz w:val="20"/>
                <w:szCs w:val="20"/>
              </w:rPr>
            </w:pPr>
            <w:r w:rsidRPr="00CB3813">
              <w:rPr>
                <w:sz w:val="20"/>
                <w:szCs w:val="20"/>
              </w:rPr>
              <w:t>Tri-Sheen Acrylic by TK Products</w:t>
            </w:r>
          </w:p>
        </w:tc>
      </w:tr>
      <w:tr w:rsidR="00F52055" w:rsidRPr="00CB3813" w:rsidTr="001D16BE">
        <w:tc>
          <w:tcPr>
            <w:tcW w:w="8280" w:type="dxa"/>
            <w:vAlign w:val="center"/>
          </w:tcPr>
          <w:p w:rsidR="00F52055" w:rsidRPr="00CB3813" w:rsidRDefault="00F52055" w:rsidP="00D439F7">
            <w:pPr>
              <w:pStyle w:val="spTable"/>
              <w:jc w:val="left"/>
              <w:rPr>
                <w:sz w:val="20"/>
                <w:szCs w:val="20"/>
              </w:rPr>
            </w:pPr>
            <w:r w:rsidRPr="00CB3813">
              <w:rPr>
                <w:sz w:val="20"/>
                <w:szCs w:val="20"/>
              </w:rPr>
              <w:t>TK-1450 Natural Look Urethane Anti-Graffiti Primers by TK Products</w:t>
            </w:r>
          </w:p>
        </w:tc>
      </w:tr>
      <w:tr w:rsidR="00F52055" w:rsidRPr="00CB3813" w:rsidTr="001D16BE">
        <w:tc>
          <w:tcPr>
            <w:tcW w:w="8280" w:type="dxa"/>
            <w:vAlign w:val="center"/>
          </w:tcPr>
          <w:p w:rsidR="00F52055" w:rsidRPr="00CB3813" w:rsidRDefault="00F52055" w:rsidP="00D439F7">
            <w:pPr>
              <w:pStyle w:val="spTable"/>
              <w:jc w:val="left"/>
              <w:rPr>
                <w:sz w:val="20"/>
                <w:szCs w:val="20"/>
              </w:rPr>
            </w:pPr>
            <w:r w:rsidRPr="00CB3813">
              <w:rPr>
                <w:sz w:val="20"/>
                <w:szCs w:val="20"/>
              </w:rPr>
              <w:t>Safe-Cure &amp; Seal EPX by Chem Masters</w:t>
            </w:r>
          </w:p>
        </w:tc>
      </w:tr>
      <w:tr w:rsidR="00F52055" w:rsidRPr="00CB3813" w:rsidTr="001D16BE">
        <w:tc>
          <w:tcPr>
            <w:tcW w:w="8280" w:type="dxa"/>
            <w:vAlign w:val="center"/>
          </w:tcPr>
          <w:p w:rsidR="00F52055" w:rsidRPr="00CB3813" w:rsidRDefault="00F52055" w:rsidP="00D439F7">
            <w:pPr>
              <w:pStyle w:val="spTable"/>
              <w:jc w:val="left"/>
              <w:rPr>
                <w:sz w:val="20"/>
                <w:szCs w:val="20"/>
              </w:rPr>
            </w:pPr>
            <w:r w:rsidRPr="00CB3813">
              <w:rPr>
                <w:sz w:val="20"/>
                <w:szCs w:val="20"/>
              </w:rPr>
              <w:t>H&amp;C Concrete Stain Solid Color Water Based by Sherwin-Williams</w:t>
            </w:r>
          </w:p>
        </w:tc>
      </w:tr>
    </w:tbl>
    <w:p w:rsidR="00F52055" w:rsidRDefault="00F52055" w:rsidP="00D439F7">
      <w:pPr>
        <w:pStyle w:val="spParagraph"/>
      </w:pPr>
      <w:proofErr w:type="gramStart"/>
      <w:r w:rsidRPr="00961652">
        <w:rPr>
          <w:rStyle w:val="spHeading"/>
        </w:rPr>
        <w:t>C  Construction</w:t>
      </w:r>
      <w:proofErr w:type="gramEnd"/>
    </w:p>
    <w:p w:rsidR="00F52055" w:rsidRDefault="00F52055" w:rsidP="00D439F7">
      <w:pPr>
        <w:pStyle w:val="spParagraph"/>
      </w:pPr>
      <w:proofErr w:type="gramStart"/>
      <w:r w:rsidRPr="00961652">
        <w:rPr>
          <w:rStyle w:val="spHeading"/>
        </w:rPr>
        <w:t>C.1  General</w:t>
      </w:r>
      <w:proofErr w:type="gramEnd"/>
    </w:p>
    <w:p w:rsidR="00F52055" w:rsidRDefault="00F52055" w:rsidP="00D439F7">
      <w:pPr>
        <w:pStyle w:val="spParagraph"/>
      </w:pPr>
      <w:r>
        <w:t>Furnish, prepare, apply, cure, and store all materials according to the product manufacturer’s specifications for the type and condition of application required.</w:t>
      </w:r>
    </w:p>
    <w:p w:rsidR="00F52055" w:rsidRDefault="00F52055" w:rsidP="00D439F7">
      <w:pPr>
        <w:pStyle w:val="spParagraph"/>
      </w:pPr>
      <w:r>
        <w:t>Match or exceed the stain manufacturer’s minimum recommended curing time of the concrete or 28 days, whichever is greater, before staining.</w:t>
      </w:r>
    </w:p>
    <w:p w:rsidR="00F52055" w:rsidRDefault="00F52055" w:rsidP="00D439F7">
      <w:pPr>
        <w:pStyle w:val="spParagraph"/>
      </w:pPr>
      <w:proofErr w:type="gramStart"/>
      <w:r w:rsidRPr="00961652">
        <w:rPr>
          <w:rStyle w:val="spHeading"/>
        </w:rPr>
        <w:t>C.2  Preparation</w:t>
      </w:r>
      <w:proofErr w:type="gramEnd"/>
      <w:r w:rsidRPr="00961652">
        <w:rPr>
          <w:rStyle w:val="spHeading"/>
        </w:rPr>
        <w:t xml:space="preserve"> of Concrete Surfaces</w:t>
      </w:r>
    </w:p>
    <w:p w:rsidR="00F52055" w:rsidRDefault="00F52055" w:rsidP="00D439F7">
      <w:pPr>
        <w:pStyle w:val="spParagraph"/>
      </w:pPr>
      <w:r>
        <w:t>Provide a sack rubbed finish as specified in standard spec 502.3.7.5, using mortar as indicated above on concrete surfaces with open voids or honeycombing.</w:t>
      </w:r>
    </w:p>
    <w:p w:rsidR="00F52055" w:rsidRDefault="00F52055" w:rsidP="00D439F7">
      <w:pPr>
        <w:pStyle w:val="spParagraph"/>
      </w:pPr>
      <w:r>
        <w:t>Following the sack rubbing, clean all concrete surfaces that are to be coated to ensure that the surface is free of all laitance, dirt, dust, grease, efflorescence, and any foreign material and that the surface will accept the coating material according to product requirements. As a minimum, clean the surface using a 3000-psi water blast. Hold the nozzle of the water blaster approximately 6 inches from the concrete surface and move it continuously in a sweeping motion. Give special attention to smooth concrete surfaces to produce an acceptable surface texture. Correct any surface problems resulting from the surface preparation methods. Grit blasting of the concrete surface is not allowed.</w:t>
      </w:r>
    </w:p>
    <w:p w:rsidR="00F52055" w:rsidRDefault="00F52055" w:rsidP="00D439F7">
      <w:pPr>
        <w:pStyle w:val="spParagraph"/>
      </w:pPr>
      <w:proofErr w:type="gramStart"/>
      <w:r w:rsidRPr="00961652">
        <w:rPr>
          <w:rStyle w:val="spHeading"/>
        </w:rPr>
        <w:t>C.3  Staining</w:t>
      </w:r>
      <w:proofErr w:type="gramEnd"/>
      <w:r w:rsidRPr="00961652">
        <w:rPr>
          <w:rStyle w:val="spHeading"/>
        </w:rPr>
        <w:t xml:space="preserve"> Concrete Surfaces</w:t>
      </w:r>
    </w:p>
    <w:p w:rsidR="00F52055" w:rsidRDefault="00F52055" w:rsidP="00D439F7">
      <w:pPr>
        <w:pStyle w:val="spParagraph"/>
      </w:pPr>
      <w:r>
        <w:t>Apply the concrete stain according to the manufacturer’s recommendations.</w:t>
      </w:r>
    </w:p>
    <w:p w:rsidR="00F52055" w:rsidRDefault="00F52055" w:rsidP="00D439F7">
      <w:pPr>
        <w:pStyle w:val="spParagraph"/>
      </w:pPr>
      <w:r>
        <w:t>Apply the concrete stain when the temperature of the concrete surface is 45º F or higher, or as given by the manufacturer.</w:t>
      </w:r>
    </w:p>
    <w:p w:rsidR="00F52055" w:rsidRDefault="00F52055" w:rsidP="00D439F7">
      <w:pPr>
        <w:pStyle w:val="spParagraph"/>
      </w:pPr>
      <w:r>
        <w:lastRenderedPageBreak/>
        <w:t>The color of the staining shall produce a multi-color effect that consists of multiple colors replicating varying natural stone coloration. Stain the joints between stones produced by the form liner to create the appearance of grouted joints.</w:t>
      </w:r>
    </w:p>
    <w:p w:rsidR="00F52055" w:rsidRDefault="00F52055" w:rsidP="00D439F7">
      <w:pPr>
        <w:pStyle w:val="spParagraph"/>
      </w:pPr>
      <w:r>
        <w:t>Do not begin staining the structure until earthwork operations are completed to a point where this work can begin without receiving damage. Where this work is adjacent to exposed soil or pavement areas, provide temporary covering protection from overspray or splatter.</w:t>
      </w:r>
    </w:p>
    <w:p w:rsidR="00F52055" w:rsidRDefault="00F52055" w:rsidP="00D439F7">
      <w:pPr>
        <w:pStyle w:val="spParagraph"/>
      </w:pPr>
      <w:proofErr w:type="gramStart"/>
      <w:r w:rsidRPr="00961652">
        <w:rPr>
          <w:rStyle w:val="spHeading"/>
        </w:rPr>
        <w:t>C.4  Test</w:t>
      </w:r>
      <w:proofErr w:type="gramEnd"/>
      <w:r w:rsidRPr="00961652">
        <w:rPr>
          <w:rStyle w:val="spHeading"/>
        </w:rPr>
        <w:t xml:space="preserve"> Areas</w:t>
      </w:r>
    </w:p>
    <w:p w:rsidR="00F52055" w:rsidRDefault="00F52055" w:rsidP="00D439F7">
      <w:pPr>
        <w:pStyle w:val="spParagraph"/>
      </w:pPr>
      <w:r>
        <w:t>Before applying stain to the structure, apply the stain to sample panels measuring a minimum of 48 inches x 48 inches and constructed to demonstrate workmanship in the use of the form liner specified on the structure if applicable. Match or exceed the stain manufacturer’s minimum recommended curing time of the concrete or 28 days, whichever is greater, before staining. Submit color samples to the department before staining the sample panels. Prepare the concrete surfaces of the sample panels and apply stain using the same materials and in the same manner as proposed for the structure, including staining of the joints between stones produced by the form liner. Do not apply stain to the structure until the department approves the test panels.</w:t>
      </w:r>
    </w:p>
    <w:p w:rsidR="00F52055" w:rsidRDefault="00F52055" w:rsidP="00D439F7">
      <w:pPr>
        <w:pStyle w:val="spParagraph"/>
      </w:pPr>
      <w:proofErr w:type="gramStart"/>
      <w:r w:rsidRPr="00961652">
        <w:rPr>
          <w:rStyle w:val="spHeading"/>
        </w:rPr>
        <w:t>C.5  Surfaces</w:t>
      </w:r>
      <w:proofErr w:type="gramEnd"/>
      <w:r w:rsidRPr="00961652">
        <w:rPr>
          <w:rStyle w:val="spHeading"/>
        </w:rPr>
        <w:t xml:space="preserve"> to be Coated.</w:t>
      </w:r>
    </w:p>
    <w:p w:rsidR="00F52055" w:rsidRDefault="00F52055" w:rsidP="00D439F7">
      <w:pPr>
        <w:pStyle w:val="spParagraph"/>
      </w:pPr>
      <w:r>
        <w:t>Apply concrete stain to the surfaces according to the plan.</w:t>
      </w:r>
    </w:p>
    <w:p w:rsidR="00F52055" w:rsidRDefault="00F52055" w:rsidP="00D439F7">
      <w:pPr>
        <w:pStyle w:val="spParagraph"/>
      </w:pPr>
      <w:r w:rsidRPr="00961652">
        <w:rPr>
          <w:rStyle w:val="spHeading"/>
        </w:rPr>
        <w:t>D  Measurement</w:t>
      </w:r>
    </w:p>
    <w:p w:rsidR="00F52055" w:rsidRDefault="00F52055" w:rsidP="00D439F7">
      <w:pPr>
        <w:pStyle w:val="spParagraph"/>
      </w:pPr>
      <w:r>
        <w:t>The department will measure Concrete Staining Multi-Color (Structure) in area by the square foot of surface, acceptably prepared and stained.</w:t>
      </w:r>
    </w:p>
    <w:p w:rsidR="00F52055" w:rsidRDefault="00F52055" w:rsidP="00D439F7">
      <w:pPr>
        <w:pStyle w:val="spParagraph"/>
      </w:pPr>
      <w:r w:rsidRPr="00961652">
        <w:rPr>
          <w:rStyle w:val="spHeading"/>
        </w:rPr>
        <w:t>E  Payment</w:t>
      </w:r>
    </w:p>
    <w:p w:rsidR="00F52055" w:rsidRPr="00CB3813" w:rsidRDefault="00F52055" w:rsidP="00D439F7">
      <w:pPr>
        <w:pStyle w:val="spParagraph"/>
        <w:rPr>
          <w:szCs w:val="20"/>
        </w:rPr>
      </w:pPr>
      <w:r w:rsidRPr="00CB3813">
        <w:rPr>
          <w:szCs w:val="20"/>
        </w:rPr>
        <w:t>The department will pay for measured quantities at the contract unit price under the following bid item:</w:t>
      </w:r>
    </w:p>
    <w:p w:rsidR="00F52055" w:rsidRPr="00CB3813" w:rsidRDefault="00F52055" w:rsidP="00D439F7">
      <w:pPr>
        <w:pStyle w:val="ssBidItem"/>
        <w:rPr>
          <w:sz w:val="20"/>
        </w:rPr>
      </w:pPr>
      <w:r w:rsidRPr="00CB3813">
        <w:rPr>
          <w:sz w:val="20"/>
        </w:rPr>
        <w:t>ITEM NUMBER</w:t>
      </w:r>
      <w:r w:rsidRPr="00CB3813">
        <w:rPr>
          <w:sz w:val="20"/>
        </w:rPr>
        <w:tab/>
        <w:t>DESCRIPTION</w:t>
      </w:r>
      <w:r w:rsidRPr="00CB3813">
        <w:rPr>
          <w:sz w:val="20"/>
        </w:rPr>
        <w:tab/>
        <w:t>UNIT</w:t>
      </w:r>
    </w:p>
    <w:p w:rsidR="00F52055" w:rsidRPr="00CB3813" w:rsidRDefault="00F52055" w:rsidP="00D439F7">
      <w:pPr>
        <w:pStyle w:val="ssBidItem"/>
        <w:rPr>
          <w:sz w:val="20"/>
        </w:rPr>
      </w:pPr>
      <w:r w:rsidRPr="00CB3813">
        <w:rPr>
          <w:sz w:val="20"/>
        </w:rPr>
        <w:t>517.1015.S</w:t>
      </w:r>
      <w:r w:rsidRPr="00CB3813">
        <w:rPr>
          <w:sz w:val="20"/>
        </w:rPr>
        <w:tab/>
        <w:t xml:space="preserve">Concrete Staining Multi-Color </w:t>
      </w:r>
      <w:r w:rsidR="00D439F7" w:rsidRPr="00CB3813">
        <w:rPr>
          <w:sz w:val="20"/>
          <w:highlight w:val="lightGray"/>
        </w:rPr>
        <w:fldChar w:fldCharType="begin">
          <w:ffData>
            <w:name w:val=""/>
            <w:enabled/>
            <w:calcOnExit w:val="0"/>
            <w:textInput>
              <w:default w:val="B-68-0133"/>
            </w:textInput>
          </w:ffData>
        </w:fldChar>
      </w:r>
      <w:r w:rsidR="00D439F7" w:rsidRPr="00CB3813">
        <w:rPr>
          <w:sz w:val="20"/>
          <w:highlight w:val="lightGray"/>
        </w:rPr>
        <w:instrText xml:space="preserve"> FORMTEXT </w:instrText>
      </w:r>
      <w:r w:rsidR="00D439F7" w:rsidRPr="00CB3813">
        <w:rPr>
          <w:sz w:val="20"/>
          <w:highlight w:val="lightGray"/>
        </w:rPr>
      </w:r>
      <w:r w:rsidR="00D439F7" w:rsidRPr="00CB3813">
        <w:rPr>
          <w:sz w:val="20"/>
          <w:highlight w:val="lightGray"/>
        </w:rPr>
        <w:fldChar w:fldCharType="separate"/>
      </w:r>
      <w:r w:rsidR="00D439F7" w:rsidRPr="00CB3813">
        <w:rPr>
          <w:noProof/>
          <w:sz w:val="20"/>
          <w:highlight w:val="lightGray"/>
        </w:rPr>
        <w:t>B-68-0133</w:t>
      </w:r>
      <w:r w:rsidR="00D439F7" w:rsidRPr="00CB3813">
        <w:rPr>
          <w:sz w:val="20"/>
          <w:highlight w:val="lightGray"/>
        </w:rPr>
        <w:fldChar w:fldCharType="end"/>
      </w:r>
      <w:r w:rsidRPr="00CB3813">
        <w:rPr>
          <w:sz w:val="20"/>
        </w:rPr>
        <w:tab/>
        <w:t>SF</w:t>
      </w:r>
    </w:p>
    <w:p w:rsidR="00F52055" w:rsidRPr="00CB3813" w:rsidRDefault="00F52055" w:rsidP="00D439F7">
      <w:pPr>
        <w:pStyle w:val="spParagraph"/>
        <w:rPr>
          <w:szCs w:val="20"/>
        </w:rPr>
      </w:pPr>
      <w:r w:rsidRPr="00CB3813">
        <w:rPr>
          <w:szCs w:val="20"/>
        </w:rPr>
        <w:t>Payment is full compensation for furnishing and applying the coloring system; for preparing the concrete surface; and for constructing and staining the sample panels.</w:t>
      </w:r>
    </w:p>
    <w:p w:rsidR="00F52055" w:rsidRPr="00CB3813" w:rsidRDefault="00F52055" w:rsidP="00D439F7">
      <w:pPr>
        <w:pStyle w:val="spVersion"/>
        <w:rPr>
          <w:szCs w:val="18"/>
        </w:rPr>
      </w:pPr>
      <w:r w:rsidRPr="00CB3813">
        <w:rPr>
          <w:szCs w:val="18"/>
        </w:rPr>
        <w:t>stp-517-115 (20140630)</w:t>
      </w:r>
    </w:p>
    <w:p w:rsidR="00F52055" w:rsidRPr="00B04CCE" w:rsidRDefault="00F52055" w:rsidP="00D439F7">
      <w:pPr>
        <w:pStyle w:val="1Heading1"/>
        <w:numPr>
          <w:ilvl w:val="0"/>
          <w:numId w:val="1"/>
        </w:numPr>
        <w:ind w:left="0" w:hanging="720"/>
      </w:pPr>
      <w:bookmarkStart w:id="181" w:name="_Toc23400026"/>
      <w:r w:rsidRPr="00B04CCE">
        <w:t xml:space="preserve">Architectural Surface Treatment </w:t>
      </w:r>
      <w:r w:rsidR="00BC4FC3">
        <w:rPr>
          <w:highlight w:val="lightGray"/>
        </w:rPr>
        <w:fldChar w:fldCharType="begin">
          <w:ffData>
            <w:name w:val=""/>
            <w:enabled/>
            <w:calcOnExit w:val="0"/>
            <w:textInput>
              <w:default w:val="B-68-0133"/>
            </w:textInput>
          </w:ffData>
        </w:fldChar>
      </w:r>
      <w:r w:rsidR="00BC4FC3">
        <w:rPr>
          <w:highlight w:val="lightGray"/>
        </w:rPr>
        <w:instrText xml:space="preserve"> FORMTEXT </w:instrText>
      </w:r>
      <w:r w:rsidR="00BC4FC3">
        <w:rPr>
          <w:highlight w:val="lightGray"/>
        </w:rPr>
      </w:r>
      <w:r w:rsidR="00BC4FC3">
        <w:rPr>
          <w:highlight w:val="lightGray"/>
        </w:rPr>
        <w:fldChar w:fldCharType="separate"/>
      </w:r>
      <w:r w:rsidR="00BC4FC3">
        <w:rPr>
          <w:noProof/>
          <w:highlight w:val="lightGray"/>
        </w:rPr>
        <w:t>B-68-0133</w:t>
      </w:r>
      <w:r w:rsidR="00BC4FC3">
        <w:rPr>
          <w:highlight w:val="lightGray"/>
        </w:rPr>
        <w:fldChar w:fldCharType="end"/>
      </w:r>
      <w:r w:rsidRPr="00B04CCE">
        <w:t>, Item 517.1050.S.</w:t>
      </w:r>
      <w:bookmarkEnd w:id="181"/>
    </w:p>
    <w:p w:rsidR="00F52055" w:rsidRDefault="00F52055" w:rsidP="00D439F7">
      <w:pPr>
        <w:pStyle w:val="spParagraph"/>
      </w:pPr>
      <w:r w:rsidRPr="00961652">
        <w:rPr>
          <w:rStyle w:val="spHeading"/>
        </w:rPr>
        <w:t>A  Description</w:t>
      </w:r>
    </w:p>
    <w:p w:rsidR="00F52055" w:rsidRDefault="00F52055" w:rsidP="00D439F7">
      <w:pPr>
        <w:pStyle w:val="spParagraph"/>
      </w:pPr>
      <w:r>
        <w:t>This special provision describes providing a concrete masonry architectural surface treatment on the exposed concrete surfaces of structures as the plan details show.</w:t>
      </w:r>
    </w:p>
    <w:p w:rsidR="00F52055" w:rsidRDefault="00F52055" w:rsidP="00D439F7">
      <w:pPr>
        <w:pStyle w:val="spParagraph"/>
      </w:pPr>
      <w:r w:rsidRPr="00961652">
        <w:rPr>
          <w:rStyle w:val="spHeading"/>
        </w:rPr>
        <w:t>B  Materials</w:t>
      </w:r>
    </w:p>
    <w:p w:rsidR="00F52055" w:rsidRDefault="00F52055" w:rsidP="00D439F7">
      <w:pPr>
        <w:pStyle w:val="spParagraph"/>
      </w:pPr>
      <w:r>
        <w:t>Use form liners that attach easily to the forming system, and do not compress more than 1/4 inch when poured at a rate of 10 vertical feet/hour.</w:t>
      </w:r>
    </w:p>
    <w:p w:rsidR="00F52055" w:rsidRDefault="00F52055" w:rsidP="00D439F7">
      <w:pPr>
        <w:pStyle w:val="spParagraph"/>
      </w:pPr>
      <w:r>
        <w:t>Use a release agent that is compatible with the form liner and coloring materials.</w:t>
      </w:r>
    </w:p>
    <w:p w:rsidR="00F52055" w:rsidRDefault="00F52055" w:rsidP="00D439F7">
      <w:pPr>
        <w:pStyle w:val="spParagraph"/>
      </w:pPr>
      <w:r>
        <w:t>Wall ties shall have set "break-backs" at a minimum of 3/4 inches from the finished concrete surface.</w:t>
      </w:r>
    </w:p>
    <w:p w:rsidR="00F52055" w:rsidRDefault="00F52055" w:rsidP="00D439F7">
      <w:pPr>
        <w:pStyle w:val="spParagraph"/>
      </w:pPr>
      <w:r w:rsidRPr="00961652">
        <w:rPr>
          <w:rStyle w:val="spHeading"/>
        </w:rPr>
        <w:t>C  Construction</w:t>
      </w:r>
    </w:p>
    <w:p w:rsidR="00F52055" w:rsidRDefault="00F52055" w:rsidP="00D439F7">
      <w:pPr>
        <w:pStyle w:val="spParagraph"/>
      </w:pPr>
      <w:proofErr w:type="gramStart"/>
      <w:r w:rsidRPr="00961652">
        <w:rPr>
          <w:rStyle w:val="spHeading"/>
        </w:rPr>
        <w:t>C.1  Equipment</w:t>
      </w:r>
      <w:proofErr w:type="gramEnd"/>
    </w:p>
    <w:p w:rsidR="00F52055" w:rsidRDefault="00F52055" w:rsidP="00D439F7">
      <w:pPr>
        <w:pStyle w:val="spParagraph"/>
      </w:pPr>
      <w:r>
        <w:t>Equipment and tools necessary for performing all parts of the work shall be satisfactory as to design, capacity, and mechanical condition for the purposes intended. Repair, improve, replace, or supplement all equipment that is not maintained in full working order, or which is proven inadequate to obtain the results prescribed.</w:t>
      </w:r>
    </w:p>
    <w:p w:rsidR="00F52055" w:rsidRDefault="00F52055" w:rsidP="00D439F7">
      <w:pPr>
        <w:pStyle w:val="spParagraph"/>
      </w:pPr>
      <w:proofErr w:type="gramStart"/>
      <w:r w:rsidRPr="00961652">
        <w:rPr>
          <w:rStyle w:val="spHeading"/>
        </w:rPr>
        <w:t>C.2  Form</w:t>
      </w:r>
      <w:proofErr w:type="gramEnd"/>
      <w:r w:rsidRPr="00961652">
        <w:rPr>
          <w:rStyle w:val="spHeading"/>
        </w:rPr>
        <w:t xml:space="preserve"> Liner Preparation</w:t>
      </w:r>
    </w:p>
    <w:p w:rsidR="00F52055" w:rsidRDefault="00F52055" w:rsidP="00D439F7">
      <w:pPr>
        <w:pStyle w:val="spParagraph"/>
      </w:pPr>
      <w:r>
        <w:t>Clean the form liner before each pour and ensure that it is free of any build-up. Visually inspect each liner for blemishes or tears, and repair if necessary per manufacturer’s recommendations.</w:t>
      </w:r>
    </w:p>
    <w:p w:rsidR="00F52055" w:rsidRDefault="00F52055" w:rsidP="00D439F7">
      <w:pPr>
        <w:pStyle w:val="spParagraph"/>
      </w:pPr>
      <w:r>
        <w:t>Apply form release per manufacturer’s recommendations.</w:t>
      </w:r>
    </w:p>
    <w:p w:rsidR="00F52055" w:rsidRDefault="00F52055" w:rsidP="00D439F7">
      <w:pPr>
        <w:pStyle w:val="spParagraph"/>
      </w:pPr>
      <w:proofErr w:type="gramStart"/>
      <w:r w:rsidRPr="00961652">
        <w:rPr>
          <w:rStyle w:val="spHeading"/>
        </w:rPr>
        <w:t>C.3  Form</w:t>
      </w:r>
      <w:proofErr w:type="gramEnd"/>
      <w:r w:rsidRPr="00961652">
        <w:rPr>
          <w:rStyle w:val="spHeading"/>
        </w:rPr>
        <w:t xml:space="preserve"> Liner Attachment</w:t>
      </w:r>
    </w:p>
    <w:p w:rsidR="00F52055" w:rsidRDefault="00F52055" w:rsidP="00D439F7">
      <w:pPr>
        <w:pStyle w:val="spParagraph"/>
      </w:pPr>
      <w:r>
        <w:lastRenderedPageBreak/>
        <w:t>Place adjacent liners less than 1/4 inch from each other, attach liner securely to forms according to the manufacturer’s recommendations, and coordinate wall ties with form liner and form manufacturer, e.g., diameter, size, and frequency.</w:t>
      </w:r>
    </w:p>
    <w:p w:rsidR="00F52055" w:rsidRDefault="00F52055" w:rsidP="00D439F7">
      <w:pPr>
        <w:pStyle w:val="spParagraph"/>
      </w:pPr>
      <w:proofErr w:type="gramStart"/>
      <w:r w:rsidRPr="00961652">
        <w:rPr>
          <w:rStyle w:val="spHeading"/>
        </w:rPr>
        <w:t>C.4  Surface</w:t>
      </w:r>
      <w:proofErr w:type="gramEnd"/>
      <w:r w:rsidRPr="00961652">
        <w:rPr>
          <w:rStyle w:val="spHeading"/>
        </w:rPr>
        <w:t xml:space="preserve"> Finishing</w:t>
      </w:r>
    </w:p>
    <w:p w:rsidR="00F52055" w:rsidRDefault="00F52055" w:rsidP="00D439F7">
      <w:pPr>
        <w:pStyle w:val="spParagraph"/>
      </w:pPr>
      <w:r>
        <w:t>Ensure that the textured surface is free of laitance; sandblasting is not permitted.</w:t>
      </w:r>
    </w:p>
    <w:p w:rsidR="00F52055" w:rsidRDefault="00F52055" w:rsidP="00D439F7">
      <w:pPr>
        <w:pStyle w:val="spParagraph"/>
      </w:pPr>
      <w:r>
        <w:t>Grind or fill pouring blemishes.</w:t>
      </w:r>
    </w:p>
    <w:p w:rsidR="00F52055" w:rsidRDefault="00F52055" w:rsidP="00D439F7">
      <w:pPr>
        <w:pStyle w:val="spParagraph"/>
      </w:pPr>
      <w:r w:rsidRPr="00961652">
        <w:rPr>
          <w:rStyle w:val="spHeading"/>
        </w:rPr>
        <w:t>D  Measurement</w:t>
      </w:r>
    </w:p>
    <w:p w:rsidR="00F52055" w:rsidRDefault="00F52055" w:rsidP="00D439F7">
      <w:pPr>
        <w:pStyle w:val="spParagraph"/>
      </w:pPr>
      <w:r>
        <w:t>The department will measure Architectural Surface Treatment (Structure) in area by the square foot of architectural surface acceptably completed.</w:t>
      </w:r>
    </w:p>
    <w:p w:rsidR="00F52055" w:rsidRDefault="00F52055" w:rsidP="00D439F7">
      <w:pPr>
        <w:pStyle w:val="spParagraph"/>
      </w:pPr>
      <w:r w:rsidRPr="00961652">
        <w:rPr>
          <w:rStyle w:val="spHeading"/>
        </w:rPr>
        <w:t>E  Payment</w:t>
      </w:r>
    </w:p>
    <w:p w:rsidR="00F52055" w:rsidRPr="00CB3813" w:rsidRDefault="00F52055" w:rsidP="00D439F7">
      <w:pPr>
        <w:pStyle w:val="spParagraph"/>
        <w:rPr>
          <w:szCs w:val="20"/>
        </w:rPr>
      </w:pPr>
      <w:r>
        <w:t xml:space="preserve">The department </w:t>
      </w:r>
      <w:r w:rsidRPr="00CB3813">
        <w:rPr>
          <w:szCs w:val="20"/>
        </w:rPr>
        <w:t>will pay for measured quantities at the contract unit price under the following bid item:</w:t>
      </w:r>
    </w:p>
    <w:p w:rsidR="00F52055" w:rsidRPr="00CB3813" w:rsidRDefault="00F52055" w:rsidP="00D439F7">
      <w:pPr>
        <w:pStyle w:val="ssBidItem"/>
        <w:rPr>
          <w:sz w:val="20"/>
        </w:rPr>
      </w:pPr>
      <w:r w:rsidRPr="00CB3813">
        <w:rPr>
          <w:sz w:val="20"/>
        </w:rPr>
        <w:t>ITEM NUMBER</w:t>
      </w:r>
      <w:r w:rsidRPr="00CB3813">
        <w:rPr>
          <w:sz w:val="20"/>
        </w:rPr>
        <w:tab/>
        <w:t>DESCRIPTION</w:t>
      </w:r>
      <w:r w:rsidRPr="00CB3813">
        <w:rPr>
          <w:sz w:val="20"/>
        </w:rPr>
        <w:tab/>
        <w:t>UNIT</w:t>
      </w:r>
    </w:p>
    <w:p w:rsidR="00F52055" w:rsidRPr="00CB3813" w:rsidRDefault="00F52055" w:rsidP="00D439F7">
      <w:pPr>
        <w:pStyle w:val="ssBidItem"/>
        <w:rPr>
          <w:sz w:val="20"/>
        </w:rPr>
      </w:pPr>
      <w:r w:rsidRPr="00CB3813">
        <w:rPr>
          <w:sz w:val="20"/>
        </w:rPr>
        <w:t>517.1050.S</w:t>
      </w:r>
      <w:r w:rsidRPr="00CB3813">
        <w:rPr>
          <w:sz w:val="20"/>
        </w:rPr>
        <w:tab/>
        <w:t xml:space="preserve">Architectural Surface Treatment </w:t>
      </w:r>
      <w:r w:rsidR="00CB3813" w:rsidRPr="00CB3813">
        <w:rPr>
          <w:sz w:val="20"/>
          <w:highlight w:val="lightGray"/>
        </w:rPr>
        <w:fldChar w:fldCharType="begin">
          <w:ffData>
            <w:name w:val=""/>
            <w:enabled/>
            <w:calcOnExit w:val="0"/>
            <w:textInput>
              <w:default w:val="B-68-0133"/>
            </w:textInput>
          </w:ffData>
        </w:fldChar>
      </w:r>
      <w:r w:rsidR="00CB3813" w:rsidRPr="00CB3813">
        <w:rPr>
          <w:sz w:val="20"/>
          <w:highlight w:val="lightGray"/>
        </w:rPr>
        <w:instrText xml:space="preserve"> FORMTEXT </w:instrText>
      </w:r>
      <w:r w:rsidR="00CB3813" w:rsidRPr="00CB3813">
        <w:rPr>
          <w:sz w:val="20"/>
          <w:highlight w:val="lightGray"/>
        </w:rPr>
      </w:r>
      <w:r w:rsidR="00CB3813" w:rsidRPr="00CB3813">
        <w:rPr>
          <w:sz w:val="20"/>
          <w:highlight w:val="lightGray"/>
        </w:rPr>
        <w:fldChar w:fldCharType="separate"/>
      </w:r>
      <w:r w:rsidR="00CB3813" w:rsidRPr="00CB3813">
        <w:rPr>
          <w:noProof/>
          <w:sz w:val="20"/>
          <w:highlight w:val="lightGray"/>
        </w:rPr>
        <w:t>B-68-0133</w:t>
      </w:r>
      <w:r w:rsidR="00CB3813" w:rsidRPr="00CB3813">
        <w:rPr>
          <w:sz w:val="20"/>
          <w:highlight w:val="lightGray"/>
        </w:rPr>
        <w:fldChar w:fldCharType="end"/>
      </w:r>
      <w:r w:rsidRPr="00CB3813">
        <w:rPr>
          <w:sz w:val="20"/>
        </w:rPr>
        <w:tab/>
        <w:t>SF</w:t>
      </w:r>
    </w:p>
    <w:p w:rsidR="00F52055" w:rsidRPr="00CB3813" w:rsidRDefault="00F52055" w:rsidP="00D439F7">
      <w:pPr>
        <w:pStyle w:val="spParagraph"/>
        <w:rPr>
          <w:szCs w:val="20"/>
        </w:rPr>
      </w:pPr>
      <w:r w:rsidRPr="00CB3813">
        <w:rPr>
          <w:szCs w:val="20"/>
        </w:rPr>
        <w:t>Payment is full compensation for producing the proposed architectural surface treatment including: preparing the foundation; finishing and protecting the surface treatment; and for properly disposing of surplus material.</w:t>
      </w:r>
    </w:p>
    <w:p w:rsidR="00F52055" w:rsidRPr="00CB3813" w:rsidRDefault="00F52055" w:rsidP="00D439F7">
      <w:pPr>
        <w:pStyle w:val="spVersion"/>
        <w:rPr>
          <w:szCs w:val="18"/>
        </w:rPr>
      </w:pPr>
      <w:r w:rsidRPr="00CB3813">
        <w:rPr>
          <w:szCs w:val="18"/>
        </w:rPr>
        <w:t>stp-517-150 (20110615)</w:t>
      </w:r>
    </w:p>
    <w:p w:rsidR="00D8227F" w:rsidRDefault="00D8227F" w:rsidP="00D439F7">
      <w:pPr>
        <w:pStyle w:val="1Heading1"/>
        <w:numPr>
          <w:ilvl w:val="0"/>
          <w:numId w:val="1"/>
        </w:numPr>
        <w:ind w:left="0" w:hanging="720"/>
      </w:pPr>
      <w:bookmarkStart w:id="182" w:name="_Toc23400027"/>
      <w:r>
        <w:t>Field Facilities.</w:t>
      </w:r>
      <w:bookmarkEnd w:id="182"/>
    </w:p>
    <w:p w:rsidR="00D8227F" w:rsidRDefault="00D8227F" w:rsidP="00D439F7">
      <w:pPr>
        <w:pStyle w:val="spParagraph"/>
        <w:rPr>
          <w:i/>
        </w:rPr>
      </w:pPr>
      <w:r>
        <w:rPr>
          <w:i/>
        </w:rPr>
        <w:t>Add the following to standard spec 642.3:</w:t>
      </w:r>
    </w:p>
    <w:p w:rsidR="00D8227F" w:rsidRDefault="00D8227F" w:rsidP="00D439F7">
      <w:pPr>
        <w:pStyle w:val="spParagraph"/>
      </w:pPr>
      <w:r>
        <w:t>Set up the field office within seven days after notice from the project engineer.</w:t>
      </w:r>
    </w:p>
    <w:p w:rsidR="00D8227F" w:rsidRPr="00CB3813" w:rsidRDefault="00D8227F" w:rsidP="00D439F7">
      <w:pPr>
        <w:pStyle w:val="spParagraph"/>
        <w:rPr>
          <w:szCs w:val="20"/>
        </w:rPr>
      </w:pPr>
      <w:r w:rsidRPr="00CB3813">
        <w:rPr>
          <w:szCs w:val="20"/>
        </w:rPr>
        <w:t>Provide a parking area large enough to park a minimum of six cars directly adjacent to the field office. The parking area and approach to the field office shall be well drained and consist of a crushed base aggregate or an existing paved surface and shall be ready for use within seven days after the field office is set up.</w:t>
      </w:r>
    </w:p>
    <w:p w:rsidR="00D8227F" w:rsidRPr="00CB3813" w:rsidRDefault="00D8227F" w:rsidP="00D439F7">
      <w:pPr>
        <w:pStyle w:val="spVersion"/>
        <w:rPr>
          <w:szCs w:val="18"/>
        </w:rPr>
      </w:pPr>
      <w:r w:rsidRPr="00CB3813">
        <w:rPr>
          <w:szCs w:val="18"/>
        </w:rPr>
        <w:t>ncr-642-005 (20160406)</w:t>
      </w:r>
    </w:p>
    <w:p w:rsidR="00D8227F" w:rsidRPr="00BB2F2F" w:rsidRDefault="00D8227F" w:rsidP="00D439F7">
      <w:pPr>
        <w:pStyle w:val="1Heading1"/>
        <w:numPr>
          <w:ilvl w:val="0"/>
          <w:numId w:val="1"/>
        </w:numPr>
        <w:ind w:left="0" w:hanging="720"/>
        <w:rPr>
          <w:rFonts w:cs="Arial"/>
        </w:rPr>
      </w:pPr>
      <w:bookmarkStart w:id="183" w:name="_Toc23400028"/>
      <w:r w:rsidRPr="003E0862">
        <w:rPr>
          <w:rFonts w:cs="Arial"/>
        </w:rPr>
        <w:t>Traffic Control.</w:t>
      </w:r>
      <w:bookmarkEnd w:id="183"/>
    </w:p>
    <w:p w:rsidR="00D8227F" w:rsidRPr="00FD4DEC" w:rsidRDefault="00D8227F" w:rsidP="00D439F7">
      <w:pPr>
        <w:pStyle w:val="spParagraph"/>
        <w:rPr>
          <w:i/>
        </w:rPr>
      </w:pPr>
      <w:r w:rsidRPr="00FD4DEC">
        <w:rPr>
          <w:i/>
        </w:rPr>
        <w:t>Add the following to standard spec 643.3.1:</w:t>
      </w:r>
    </w:p>
    <w:p w:rsidR="00506601" w:rsidRDefault="00506601" w:rsidP="00D439F7">
      <w:pPr>
        <w:pStyle w:val="spParagraph"/>
      </w:pPr>
      <w:r>
        <w:t>Lighting devices shall be covered or rendered inoperative when not in use.</w:t>
      </w:r>
    </w:p>
    <w:p w:rsidR="00506601" w:rsidRDefault="00506601" w:rsidP="00D439F7">
      <w:pPr>
        <w:pStyle w:val="spParagraph"/>
      </w:pPr>
      <w:r>
        <w:t>Provide the engineer and law enforcement (police, sheriff and State Patrol) the current telephone number(s) that the contractor, or their representative, can be contacted at, at all times, in the event a safety hazard develops. Repair, replace, or restore the damaged or disturbed traffic control devices within two hours from the time notified or made aware of the damaged or disturbed traffic control devices.</w:t>
      </w:r>
    </w:p>
    <w:p w:rsidR="00506601" w:rsidRDefault="00506601" w:rsidP="00D439F7">
      <w:pPr>
        <w:pStyle w:val="spParagraph"/>
      </w:pPr>
      <w:r>
        <w:t>Promptly replace all state-owned signs that are removed by the contractor due to interference with construction operations. At no time may stop signs be removed or moved without flag persons present.</w:t>
      </w:r>
    </w:p>
    <w:p w:rsidR="00506601" w:rsidRDefault="00506601" w:rsidP="00D439F7">
      <w:pPr>
        <w:pStyle w:val="spParagraph"/>
        <w:rPr>
          <w:i/>
        </w:rPr>
      </w:pPr>
      <w:r>
        <w:rPr>
          <w:i/>
        </w:rPr>
        <w:t>Add the following to standard spec 104.6.1.2.2:</w:t>
      </w:r>
    </w:p>
    <w:p w:rsidR="00506601" w:rsidRDefault="00506601" w:rsidP="00D439F7">
      <w:pPr>
        <w:pStyle w:val="spParagraph"/>
      </w:pPr>
      <w:r>
        <w:t>Provide a dedicated person or alternate method to guide traffic travelling alongside or near moving operations such as milling, paving, and shouldering.</w:t>
      </w:r>
    </w:p>
    <w:p w:rsidR="00D8227F" w:rsidRPr="003E0862" w:rsidRDefault="00506601" w:rsidP="00D439F7">
      <w:pPr>
        <w:pStyle w:val="spVersion"/>
      </w:pPr>
      <w:r>
        <w:t>ncr-643-005 (20190703)</w:t>
      </w:r>
    </w:p>
    <w:p w:rsidR="00F52055" w:rsidRPr="00F52055" w:rsidRDefault="00F52055" w:rsidP="00D439F7">
      <w:pPr>
        <w:pStyle w:val="1Heading1"/>
        <w:numPr>
          <w:ilvl w:val="0"/>
          <w:numId w:val="1"/>
        </w:numPr>
        <w:ind w:left="0" w:hanging="720"/>
      </w:pPr>
      <w:bookmarkStart w:id="184" w:name="_Toc494192096"/>
      <w:bookmarkStart w:id="185" w:name="_Toc11662462"/>
      <w:bookmarkStart w:id="186" w:name="_Toc23400029"/>
      <w:r w:rsidRPr="00F52055">
        <w:t>Electrical Service Meter Breaker Pedestal STH 49, Item 656.0200.01</w:t>
      </w:r>
      <w:bookmarkEnd w:id="184"/>
      <w:r w:rsidR="00BC4FC3">
        <w:t>.</w:t>
      </w:r>
      <w:bookmarkEnd w:id="185"/>
      <w:bookmarkEnd w:id="186"/>
      <w:r w:rsidRPr="00F52055">
        <w:t xml:space="preserve"> </w:t>
      </w:r>
    </w:p>
    <w:p w:rsidR="00F52055" w:rsidRPr="00D439F7" w:rsidRDefault="00F52055" w:rsidP="00D439F7">
      <w:pPr>
        <w:pStyle w:val="spParagraph"/>
        <w:rPr>
          <w:i/>
        </w:rPr>
      </w:pPr>
      <w:r w:rsidRPr="00D439F7">
        <w:rPr>
          <w:i/>
        </w:rPr>
        <w:t>Replace standard spec 656.2.3, Meter Breaker Pedestal Service, paragraph (1) to read as follows:</w:t>
      </w:r>
    </w:p>
    <w:p w:rsidR="00F52055" w:rsidRPr="00D439F7" w:rsidRDefault="00F52055" w:rsidP="00D439F7">
      <w:pPr>
        <w:spacing w:before="0" w:after="0"/>
        <w:ind w:left="720"/>
        <w:rPr>
          <w:rFonts w:cs="Arial"/>
          <w:i/>
          <w:iCs/>
        </w:rPr>
      </w:pPr>
    </w:p>
    <w:p w:rsidR="00F52055" w:rsidRPr="00D439F7" w:rsidRDefault="00F52055" w:rsidP="00D439F7">
      <w:pPr>
        <w:numPr>
          <w:ilvl w:val="0"/>
          <w:numId w:val="5"/>
        </w:numPr>
        <w:spacing w:before="0" w:after="0"/>
        <w:ind w:left="360"/>
        <w:rPr>
          <w:rFonts w:cs="Arial"/>
          <w:iCs/>
        </w:rPr>
      </w:pPr>
      <w:r w:rsidRPr="00D439F7">
        <w:rPr>
          <w:rFonts w:cs="Arial"/>
          <w:iCs/>
        </w:rPr>
        <w:t xml:space="preserve">Furnish an approved service having a meter breaker pedestal, 22,000-AIC circuit breakers unless the local utility requires otherwise, grounding electrodes and connections, conduit and fittings, and </w:t>
      </w:r>
      <w:r w:rsidRPr="00D439F7">
        <w:rPr>
          <w:szCs w:val="28"/>
        </w:rPr>
        <w:t>necessary conductors and equipment required by the WSEC and the utility for a service connection.</w:t>
      </w:r>
      <w:r w:rsidRPr="00D439F7">
        <w:rPr>
          <w:rFonts w:cs="Arial"/>
          <w:iCs/>
        </w:rPr>
        <w:t xml:space="preserve">  Furnish a pedestal with a 100 A 2-pole main breaker and a 30 A spare breaker.  When the meter breaker pedestal is energized, install an approved meter seal at all access points on the meter trough.  Meter shall be time of use type.</w:t>
      </w:r>
    </w:p>
    <w:p w:rsidR="00F52055" w:rsidRPr="00F52055" w:rsidRDefault="00F52055" w:rsidP="00D439F7">
      <w:pPr>
        <w:pStyle w:val="1Heading1"/>
        <w:numPr>
          <w:ilvl w:val="0"/>
          <w:numId w:val="1"/>
        </w:numPr>
        <w:ind w:left="0" w:hanging="720"/>
      </w:pPr>
      <w:bookmarkStart w:id="187" w:name="_Toc536549382"/>
      <w:bookmarkStart w:id="188" w:name="_Toc11662463"/>
      <w:bookmarkStart w:id="189" w:name="_Toc23400030"/>
      <w:r w:rsidRPr="00F52055">
        <w:lastRenderedPageBreak/>
        <w:t>Electrical Service Breaker Disconnect Box STH 49, Item 656.0500.01</w:t>
      </w:r>
      <w:bookmarkEnd w:id="187"/>
      <w:bookmarkEnd w:id="188"/>
      <w:r w:rsidR="00BC4FC3">
        <w:t>.</w:t>
      </w:r>
      <w:bookmarkEnd w:id="189"/>
    </w:p>
    <w:p w:rsidR="00F52055" w:rsidRPr="00D439F7" w:rsidRDefault="00F52055" w:rsidP="00D439F7">
      <w:pPr>
        <w:pStyle w:val="spParagraph"/>
        <w:rPr>
          <w:i/>
        </w:rPr>
      </w:pPr>
      <w:r w:rsidRPr="00D439F7">
        <w:rPr>
          <w:i/>
        </w:rPr>
        <w:t>Replace standard spec 656.2.6, Breaker Disconnect Box Service, paragraph (1) to read as follows:</w:t>
      </w:r>
    </w:p>
    <w:p w:rsidR="00F52055" w:rsidRPr="00D439F7" w:rsidRDefault="00F52055" w:rsidP="00D439F7">
      <w:pPr>
        <w:spacing w:before="0" w:after="0"/>
        <w:ind w:left="720"/>
        <w:rPr>
          <w:rFonts w:cs="Arial"/>
          <w:i/>
          <w:iCs/>
        </w:rPr>
      </w:pPr>
    </w:p>
    <w:p w:rsidR="00F52055" w:rsidRPr="00D439F7" w:rsidRDefault="00F52055" w:rsidP="00D439F7">
      <w:pPr>
        <w:numPr>
          <w:ilvl w:val="0"/>
          <w:numId w:val="13"/>
        </w:numPr>
        <w:spacing w:before="0" w:after="0"/>
        <w:ind w:left="360"/>
        <w:rPr>
          <w:rFonts w:cs="Arial"/>
          <w:iCs/>
        </w:rPr>
      </w:pPr>
      <w:r w:rsidRPr="00D439F7">
        <w:rPr>
          <w:rFonts w:cs="Arial"/>
          <w:iCs/>
        </w:rPr>
        <w:t>Furnish a 100 A outside rated breaker box with space for 6 circuits, but no main breaker; 40 A 2-pole circuit breaker (22,000 AIC or larger as required by power companies), conduit fittings, grounding electrodes, and connections and necessary conductors and equipment required to provide power to the cabinet.</w:t>
      </w:r>
    </w:p>
    <w:p w:rsidR="00F52055" w:rsidRPr="00F52055" w:rsidRDefault="00F52055" w:rsidP="00D439F7">
      <w:pPr>
        <w:pStyle w:val="1Heading1"/>
        <w:numPr>
          <w:ilvl w:val="0"/>
          <w:numId w:val="1"/>
        </w:numPr>
        <w:ind w:left="0" w:hanging="720"/>
      </w:pPr>
      <w:bookmarkStart w:id="190" w:name="_Toc494192106"/>
      <w:bookmarkStart w:id="191" w:name="_Toc11662464"/>
      <w:bookmarkStart w:id="192" w:name="_Toc23400031"/>
      <w:r w:rsidRPr="00F52055">
        <w:t>Light Pole Assembly, Item SPV.0060.01</w:t>
      </w:r>
      <w:bookmarkEnd w:id="190"/>
      <w:bookmarkEnd w:id="191"/>
      <w:r w:rsidR="00BC4FC3">
        <w:t>.</w:t>
      </w:r>
      <w:bookmarkEnd w:id="192"/>
    </w:p>
    <w:p w:rsidR="0006185D" w:rsidRPr="00423B13" w:rsidRDefault="0006185D" w:rsidP="009D66E5">
      <w:pPr>
        <w:spacing w:before="0" w:after="0"/>
        <w:contextualSpacing/>
        <w:rPr>
          <w:rFonts w:cs="Arial"/>
          <w:b/>
        </w:rPr>
      </w:pPr>
      <w:proofErr w:type="gramStart"/>
      <w:r w:rsidRPr="00423B13">
        <w:rPr>
          <w:rFonts w:cs="Arial"/>
          <w:b/>
        </w:rPr>
        <w:t>A  Description</w:t>
      </w:r>
      <w:proofErr w:type="gramEnd"/>
    </w:p>
    <w:p w:rsidR="0006185D" w:rsidRPr="00423B13" w:rsidRDefault="0006185D" w:rsidP="009D66E5">
      <w:pPr>
        <w:tabs>
          <w:tab w:val="left" w:pos="-720"/>
          <w:tab w:val="left" w:pos="0"/>
        </w:tabs>
        <w:suppressAutoHyphens/>
        <w:spacing w:before="0" w:after="0"/>
        <w:rPr>
          <w:rFonts w:cs="Arial"/>
        </w:rPr>
      </w:pPr>
      <w:r w:rsidRPr="009D66E5">
        <w:rPr>
          <w:rFonts w:eastAsia="Calibri" w:cs="Arial"/>
        </w:rPr>
        <w:t>This special provision describes furnishing and installing light pole assembly, which consists of light pole with arm, WisDOT LED B luminaires, transformer base, and a festoon receptacle box.</w:t>
      </w:r>
      <w:r w:rsidRPr="00423B13">
        <w:rPr>
          <w:rFonts w:cs="Arial"/>
        </w:rPr>
        <w:t xml:space="preserve">  </w:t>
      </w:r>
    </w:p>
    <w:p w:rsidR="0006185D" w:rsidRPr="00423B13" w:rsidRDefault="0006185D" w:rsidP="0006185D">
      <w:pPr>
        <w:rPr>
          <w:rFonts w:cs="Arial"/>
        </w:rPr>
      </w:pPr>
    </w:p>
    <w:p w:rsidR="0006185D" w:rsidRPr="00423B13" w:rsidRDefault="0006185D" w:rsidP="009D66E5">
      <w:pPr>
        <w:spacing w:before="0" w:after="0"/>
        <w:contextualSpacing/>
        <w:rPr>
          <w:rFonts w:cs="Arial"/>
          <w:b/>
        </w:rPr>
      </w:pPr>
      <w:r w:rsidRPr="00423B13">
        <w:rPr>
          <w:rFonts w:cs="Arial"/>
          <w:b/>
        </w:rPr>
        <w:t>B Materials</w:t>
      </w: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Provide light poles with mast arm, luminaires, transformer base, and a festoon receptacle box as shown in the plans and as specified herein.</w:t>
      </w:r>
    </w:p>
    <w:p w:rsidR="0006185D" w:rsidRPr="009D66E5" w:rsidRDefault="0006185D" w:rsidP="009D66E5">
      <w:pPr>
        <w:tabs>
          <w:tab w:val="left" w:pos="-720"/>
          <w:tab w:val="left" w:pos="0"/>
        </w:tabs>
        <w:suppressAutoHyphens/>
        <w:spacing w:before="0" w:after="0"/>
        <w:rPr>
          <w:rFonts w:eastAsia="Calibri" w:cs="Arial"/>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960"/>
        <w:gridCol w:w="4191"/>
      </w:tblGrid>
      <w:tr w:rsidR="0006185D" w:rsidRPr="009D66E5" w:rsidTr="008A4E5C">
        <w:trPr>
          <w:trHeight w:val="300"/>
          <w:jc w:val="center"/>
        </w:trPr>
        <w:tc>
          <w:tcPr>
            <w:tcW w:w="2262" w:type="dxa"/>
            <w:shd w:val="clear" w:color="auto" w:fill="auto"/>
            <w:noWrap/>
            <w:vAlign w:val="center"/>
            <w:hideMark/>
          </w:tcPr>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Lighting Equipment</w:t>
            </w:r>
          </w:p>
        </w:tc>
        <w:tc>
          <w:tcPr>
            <w:tcW w:w="1960" w:type="dxa"/>
            <w:shd w:val="clear" w:color="auto" w:fill="auto"/>
            <w:noWrap/>
            <w:vAlign w:val="center"/>
            <w:hideMark/>
          </w:tcPr>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Manufacturer</w:t>
            </w:r>
          </w:p>
        </w:tc>
        <w:tc>
          <w:tcPr>
            <w:tcW w:w="4191" w:type="dxa"/>
            <w:shd w:val="clear" w:color="auto" w:fill="auto"/>
            <w:noWrap/>
            <w:vAlign w:val="center"/>
            <w:hideMark/>
          </w:tcPr>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Catalog No.</w:t>
            </w:r>
          </w:p>
        </w:tc>
      </w:tr>
      <w:tr w:rsidR="0006185D" w:rsidRPr="009D66E5" w:rsidTr="008A4E5C">
        <w:trPr>
          <w:trHeight w:val="300"/>
          <w:jc w:val="center"/>
        </w:trPr>
        <w:tc>
          <w:tcPr>
            <w:tcW w:w="2262" w:type="dxa"/>
            <w:shd w:val="clear" w:color="auto" w:fill="auto"/>
            <w:noWrap/>
            <w:vAlign w:val="center"/>
          </w:tcPr>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Light Pole with 8’ Arm</w:t>
            </w:r>
          </w:p>
        </w:tc>
        <w:tc>
          <w:tcPr>
            <w:tcW w:w="1960" w:type="dxa"/>
            <w:shd w:val="clear" w:color="auto" w:fill="auto"/>
            <w:noWrap/>
            <w:vAlign w:val="center"/>
          </w:tcPr>
          <w:p w:rsidR="0006185D" w:rsidRPr="009D66E5" w:rsidRDefault="0006185D" w:rsidP="009D66E5">
            <w:pPr>
              <w:tabs>
                <w:tab w:val="left" w:pos="-720"/>
                <w:tab w:val="left" w:pos="0"/>
              </w:tabs>
              <w:suppressAutoHyphens/>
              <w:spacing w:before="0" w:after="0"/>
              <w:rPr>
                <w:rFonts w:eastAsia="Calibri" w:cs="Arial"/>
              </w:rPr>
            </w:pPr>
            <w:proofErr w:type="spellStart"/>
            <w:r w:rsidRPr="009D66E5">
              <w:rPr>
                <w:rFonts w:eastAsia="Calibri" w:cs="Arial"/>
              </w:rPr>
              <w:t>Hapco</w:t>
            </w:r>
            <w:proofErr w:type="spellEnd"/>
          </w:p>
        </w:tc>
        <w:tc>
          <w:tcPr>
            <w:tcW w:w="4191" w:type="dxa"/>
            <w:shd w:val="clear" w:color="auto" w:fill="auto"/>
            <w:noWrap/>
            <w:vAlign w:val="center"/>
          </w:tcPr>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RTA30C8B4D18-BA</w:t>
            </w:r>
          </w:p>
        </w:tc>
      </w:tr>
    </w:tbl>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 xml:space="preserve">Provide catalog cuts of the light pole with luminaire arm, transformer base, and luminaire for review by the owner prior to finalizing the order to the manufacturers.  Furnish all other hardware and materials necessary to install light pole with luminaire arm, transformer base, luminaire, and festoon receptacle box. Color of light pole with luminaire arm, luminaire, and transformer base shall be black. </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 xml:space="preserve">Furnish transformer base breakaway 11 ½-inch bolt circle in accordance to 657.2 of the standard specifications.  Obtain transformer base powder-coated in the in the color black.  </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 xml:space="preserve">Furnish luminaire LED B in accordance to 659.2 of the standard specifications.  Obtain luminaire in the color black.  </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 xml:space="preserve">All lighting hardware, and </w:t>
      </w:r>
      <w:proofErr w:type="gramStart"/>
      <w:r w:rsidRPr="009D66E5">
        <w:rPr>
          <w:rFonts w:eastAsia="Calibri" w:cs="Arial"/>
        </w:rPr>
        <w:t>stainless steel</w:t>
      </w:r>
      <w:proofErr w:type="gramEnd"/>
      <w:r w:rsidRPr="009D66E5">
        <w:rPr>
          <w:rFonts w:eastAsia="Calibri" w:cs="Arial"/>
        </w:rPr>
        <w:t xml:space="preserve"> banding used on poles, shall be cleaned and painted with a primer and two finish coats of the best rust resistant synthetic resin enamel in the color black.    </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 xml:space="preserve">Furnish festoon GFCI receptacles with a 20-amp, </w:t>
      </w:r>
      <w:proofErr w:type="gramStart"/>
      <w:r w:rsidRPr="009D66E5">
        <w:rPr>
          <w:rFonts w:eastAsia="Calibri" w:cs="Arial"/>
        </w:rPr>
        <w:t>120 volt</w:t>
      </w:r>
      <w:proofErr w:type="gramEnd"/>
      <w:r w:rsidRPr="009D66E5">
        <w:rPr>
          <w:rFonts w:eastAsia="Calibri" w:cs="Arial"/>
        </w:rPr>
        <w:t>, duplex, ground fault interrupting premium specification in a weather-proof, cast metal receptacle box with an outdoor cover. The receptacle, box and cover shall be black. The receptacle box shall be painted to match the light pole. The outdoor cover shall be designed to be weather-proof while the receptacle is in use. The cover shall be rugged, UV resistant, non-corrosive, non-conductive, made of polycarbonate designed to protect the receptacle without cracking or breaking.</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Include the wiring and additional slack wiring required to connect the receptacle circuits within the transformer base pedestal. Install wires within the light poles that are XLP, USE rated, copper, no smaller than No. 12 AWG and sized to accommodate the receptacles supplied. Fuses shall be small-dimension, 1 1/2 in. x 13/32 in., cylindrical fuses of the time-delay type. The fuses shall be rated for 500 V AC and meet the requirements of UL 248-14. The fuses shall have a listed interrupting rating of not less than 10,000 rms symmetrical amperes at rated voltage. They shall be sized at 300 percent of the starting or operating current whichever is greater, but in no case greater than 50 percent of the branch circuit conductor ampacity installed in accordance with WisDOT Standard Detail Drawing Electrical Handhole Wiring.</w:t>
      </w:r>
    </w:p>
    <w:p w:rsidR="0006185D" w:rsidRPr="00423B13" w:rsidRDefault="0006185D" w:rsidP="0006185D">
      <w:pPr>
        <w:rPr>
          <w:rFonts w:cs="Arial"/>
        </w:rPr>
      </w:pPr>
    </w:p>
    <w:p w:rsidR="0006185D" w:rsidRPr="00423B13" w:rsidRDefault="0006185D" w:rsidP="009D66E5">
      <w:pPr>
        <w:spacing w:before="0" w:after="0"/>
        <w:contextualSpacing/>
        <w:rPr>
          <w:rFonts w:cs="Arial"/>
          <w:b/>
        </w:rPr>
      </w:pPr>
      <w:proofErr w:type="gramStart"/>
      <w:r w:rsidRPr="00423B13">
        <w:rPr>
          <w:rFonts w:cs="Arial"/>
          <w:b/>
        </w:rPr>
        <w:t>C  Construction</w:t>
      </w:r>
      <w:proofErr w:type="gramEnd"/>
      <w:r w:rsidRPr="00423B13">
        <w:rPr>
          <w:rFonts w:cs="Arial"/>
          <w:b/>
        </w:rPr>
        <w:t xml:space="preserve">  </w:t>
      </w: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 xml:space="preserve">Construct in accordance to the applicable portions of standard spec 657, 659, and the manufacturer’s recommendations. Fill in any open holes in the light pole using a grommet or other engineer-approved device to prevent water from entering the pole.  </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Install the festoon receptacles at the locations shown on the plans with all necessary wiring, miscellaneous accessories, and hardware as required for a complete and fully operational unit.  Follow manufacturer instructions for transportation, installation and wiring.</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lastRenderedPageBreak/>
        <w:t>Mount the festoon receptacle box on the pole 10 feet above the top of the transformer base. Mount only one duplex festoon receptacle and box on each pole.</w:t>
      </w:r>
    </w:p>
    <w:p w:rsidR="0006185D" w:rsidRPr="009D66E5" w:rsidRDefault="0006185D" w:rsidP="009D66E5">
      <w:pPr>
        <w:tabs>
          <w:tab w:val="left" w:pos="-720"/>
          <w:tab w:val="left" w:pos="0"/>
        </w:tabs>
        <w:suppressAutoHyphens/>
        <w:spacing w:before="0" w:after="0"/>
        <w:rPr>
          <w:rFonts w:eastAsia="Calibri" w:cs="Arial"/>
        </w:rPr>
      </w:pPr>
    </w:p>
    <w:p w:rsidR="0006185D" w:rsidRPr="009D66E5" w:rsidRDefault="0006185D" w:rsidP="009D66E5">
      <w:pPr>
        <w:tabs>
          <w:tab w:val="left" w:pos="-720"/>
          <w:tab w:val="left" w:pos="0"/>
        </w:tabs>
        <w:suppressAutoHyphens/>
        <w:spacing w:before="0" w:after="0"/>
        <w:rPr>
          <w:rFonts w:eastAsia="Calibri" w:cs="Arial"/>
        </w:rPr>
      </w:pPr>
      <w:r w:rsidRPr="009D66E5">
        <w:rPr>
          <w:rFonts w:eastAsia="Calibri" w:cs="Arial"/>
        </w:rPr>
        <w:t xml:space="preserve">Verify the mounting height of festoon receptacle box with owner prior to installation.  </w:t>
      </w:r>
    </w:p>
    <w:p w:rsidR="0006185D" w:rsidRPr="00423B13" w:rsidRDefault="0006185D" w:rsidP="0006185D">
      <w:pPr>
        <w:rPr>
          <w:rFonts w:cs="Arial"/>
        </w:rPr>
      </w:pPr>
    </w:p>
    <w:p w:rsidR="0006185D" w:rsidRPr="00423B13" w:rsidRDefault="0006185D" w:rsidP="009D66E5">
      <w:pPr>
        <w:spacing w:before="0" w:after="0"/>
        <w:contextualSpacing/>
        <w:rPr>
          <w:rFonts w:cs="Arial"/>
          <w:b/>
        </w:rPr>
      </w:pPr>
      <w:proofErr w:type="gramStart"/>
      <w:r w:rsidRPr="00423B13">
        <w:rPr>
          <w:rFonts w:cs="Arial"/>
          <w:b/>
        </w:rPr>
        <w:t>D  Measurement</w:t>
      </w:r>
      <w:proofErr w:type="gramEnd"/>
      <w:r w:rsidRPr="00423B13">
        <w:rPr>
          <w:rFonts w:cs="Arial"/>
          <w:b/>
        </w:rPr>
        <w:t xml:space="preserve">  </w:t>
      </w:r>
    </w:p>
    <w:p w:rsidR="0006185D" w:rsidRPr="00423B13" w:rsidRDefault="0006185D" w:rsidP="009D66E5">
      <w:pPr>
        <w:spacing w:before="0" w:after="0"/>
        <w:rPr>
          <w:rFonts w:cs="Arial"/>
        </w:rPr>
      </w:pPr>
      <w:r w:rsidRPr="00423B13">
        <w:rPr>
          <w:rFonts w:cs="Arial"/>
        </w:rPr>
        <w:t xml:space="preserve">The department will measure Light Pole Assembly as each unit acceptably completed. </w:t>
      </w:r>
    </w:p>
    <w:p w:rsidR="0006185D" w:rsidRPr="009D66E5" w:rsidRDefault="0006185D" w:rsidP="009D66E5">
      <w:pPr>
        <w:spacing w:before="0" w:after="0"/>
        <w:rPr>
          <w:rFonts w:cs="Arial"/>
        </w:rPr>
      </w:pPr>
    </w:p>
    <w:p w:rsidR="0006185D" w:rsidRPr="00423B13" w:rsidRDefault="0006185D" w:rsidP="009D66E5">
      <w:pPr>
        <w:spacing w:before="0" w:after="0"/>
        <w:contextualSpacing/>
        <w:rPr>
          <w:rFonts w:cs="Arial"/>
          <w:b/>
        </w:rPr>
      </w:pPr>
      <w:proofErr w:type="gramStart"/>
      <w:r w:rsidRPr="00423B13">
        <w:rPr>
          <w:rFonts w:cs="Arial"/>
          <w:b/>
        </w:rPr>
        <w:t>E  Payment</w:t>
      </w:r>
      <w:proofErr w:type="gramEnd"/>
      <w:r w:rsidRPr="00423B13">
        <w:rPr>
          <w:rFonts w:cs="Arial"/>
          <w:b/>
        </w:rPr>
        <w:t xml:space="preserve">   </w:t>
      </w:r>
    </w:p>
    <w:p w:rsidR="0006185D" w:rsidRPr="00423B13" w:rsidRDefault="0006185D" w:rsidP="0006185D">
      <w:pPr>
        <w:rPr>
          <w:rFonts w:cs="Arial"/>
        </w:rPr>
      </w:pPr>
      <w:r w:rsidRPr="00423B13">
        <w:rPr>
          <w:rFonts w:cs="Arial"/>
        </w:rPr>
        <w:t>The department will pay for the measured quantity at the contract unit price under the following bid item:</w:t>
      </w:r>
    </w:p>
    <w:p w:rsidR="0006185D" w:rsidRPr="00423B13" w:rsidRDefault="0006185D" w:rsidP="0006185D">
      <w:pPr>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5321"/>
        <w:gridCol w:w="1256"/>
      </w:tblGrid>
      <w:tr w:rsidR="0006185D" w:rsidRPr="00423B13" w:rsidTr="008A4E5C">
        <w:tc>
          <w:tcPr>
            <w:tcW w:w="1980" w:type="dxa"/>
          </w:tcPr>
          <w:p w:rsidR="0006185D" w:rsidRPr="00423B13" w:rsidRDefault="0006185D" w:rsidP="008A4E5C">
            <w:pPr>
              <w:rPr>
                <w:rFonts w:cs="Arial"/>
              </w:rPr>
            </w:pPr>
            <w:r w:rsidRPr="00423B13">
              <w:rPr>
                <w:rFonts w:cs="Arial"/>
              </w:rPr>
              <w:t>ITEM NUMBER</w:t>
            </w:r>
          </w:p>
        </w:tc>
        <w:tc>
          <w:tcPr>
            <w:tcW w:w="5490" w:type="dxa"/>
          </w:tcPr>
          <w:p w:rsidR="0006185D" w:rsidRPr="00423B13" w:rsidRDefault="0006185D" w:rsidP="008A4E5C">
            <w:pPr>
              <w:rPr>
                <w:rFonts w:cs="Arial"/>
              </w:rPr>
            </w:pPr>
            <w:r w:rsidRPr="00423B13">
              <w:rPr>
                <w:rFonts w:cs="Arial"/>
              </w:rPr>
              <w:t>DESCRIPTION</w:t>
            </w:r>
          </w:p>
        </w:tc>
        <w:tc>
          <w:tcPr>
            <w:tcW w:w="1278" w:type="dxa"/>
          </w:tcPr>
          <w:p w:rsidR="0006185D" w:rsidRPr="00423B13" w:rsidRDefault="0006185D" w:rsidP="008A4E5C">
            <w:pPr>
              <w:rPr>
                <w:rFonts w:cs="Arial"/>
              </w:rPr>
            </w:pPr>
            <w:r w:rsidRPr="00423B13">
              <w:rPr>
                <w:rFonts w:cs="Arial"/>
              </w:rPr>
              <w:t>UNIT</w:t>
            </w:r>
          </w:p>
        </w:tc>
      </w:tr>
      <w:tr w:rsidR="0006185D" w:rsidRPr="00423B13" w:rsidTr="008A4E5C">
        <w:trPr>
          <w:trHeight w:val="378"/>
        </w:trPr>
        <w:tc>
          <w:tcPr>
            <w:tcW w:w="1980" w:type="dxa"/>
          </w:tcPr>
          <w:p w:rsidR="0006185D" w:rsidRPr="00423B13" w:rsidRDefault="0006185D" w:rsidP="008A4E5C">
            <w:pPr>
              <w:rPr>
                <w:rFonts w:cs="Arial"/>
              </w:rPr>
            </w:pPr>
            <w:r w:rsidRPr="00423B13">
              <w:rPr>
                <w:rFonts w:cs="Arial"/>
              </w:rPr>
              <w:t>SPV.0060.01</w:t>
            </w:r>
          </w:p>
        </w:tc>
        <w:tc>
          <w:tcPr>
            <w:tcW w:w="5490" w:type="dxa"/>
          </w:tcPr>
          <w:p w:rsidR="0006185D" w:rsidRPr="00423B13" w:rsidRDefault="0006185D" w:rsidP="008A4E5C">
            <w:pPr>
              <w:rPr>
                <w:rFonts w:cs="Arial"/>
              </w:rPr>
            </w:pPr>
            <w:r w:rsidRPr="00423B13">
              <w:rPr>
                <w:rFonts w:cs="Arial"/>
              </w:rPr>
              <w:t>Light Pole Assembly</w:t>
            </w:r>
          </w:p>
        </w:tc>
        <w:tc>
          <w:tcPr>
            <w:tcW w:w="1278" w:type="dxa"/>
          </w:tcPr>
          <w:p w:rsidR="0006185D" w:rsidRPr="00423B13" w:rsidRDefault="0006185D" w:rsidP="008A4E5C">
            <w:pPr>
              <w:rPr>
                <w:rFonts w:cs="Arial"/>
              </w:rPr>
            </w:pPr>
            <w:r w:rsidRPr="00423B13">
              <w:rPr>
                <w:rFonts w:cs="Arial"/>
              </w:rPr>
              <w:t>EACH</w:t>
            </w:r>
          </w:p>
        </w:tc>
      </w:tr>
    </w:tbl>
    <w:p w:rsidR="0006185D" w:rsidRPr="00423B13" w:rsidRDefault="0006185D" w:rsidP="0006185D">
      <w:pPr>
        <w:rPr>
          <w:rFonts w:cs="Arial"/>
        </w:rPr>
      </w:pPr>
    </w:p>
    <w:p w:rsidR="00F52055" w:rsidRPr="00D439F7" w:rsidRDefault="0006185D" w:rsidP="0006185D">
      <w:pPr>
        <w:spacing w:before="0" w:after="0"/>
        <w:rPr>
          <w:rFonts w:cs="Arial"/>
        </w:rPr>
      </w:pPr>
      <w:r w:rsidRPr="00423B13">
        <w:rPr>
          <w:rFonts w:cs="Arial"/>
        </w:rPr>
        <w:t xml:space="preserve">Payment is full compensation for providing and installing light pole with arm, luminaires, transformer bases, and festoon receptacle box for each light pole assembly.  Transformer base shall include providing base including grounding lugs and related mounting hardware; for leveling shims; and for corrosion prevention.  Festoon Receptacle Box shall include Festoon Receptacle, box, cover, wiring, fuses, and all hardware and fittings.   Item includes coordination with all other construction operations; and for furnishing all labor, tools, equipment and incidentals necessary to complete the work as described herein, in the plans, details and standard </w:t>
      </w:r>
      <w:r w:rsidR="009D66E5">
        <w:rPr>
          <w:rFonts w:cs="Arial"/>
        </w:rPr>
        <w:t>specifica</w:t>
      </w:r>
      <w:r w:rsidR="00F52055" w:rsidRPr="00D439F7">
        <w:rPr>
          <w:rFonts w:cs="Arial"/>
        </w:rPr>
        <w:t>tions.</w:t>
      </w:r>
    </w:p>
    <w:p w:rsidR="00F52055" w:rsidRPr="003E0862" w:rsidRDefault="00F52055" w:rsidP="00D439F7">
      <w:pPr>
        <w:pStyle w:val="1Heading1"/>
        <w:numPr>
          <w:ilvl w:val="0"/>
          <w:numId w:val="1"/>
        </w:numPr>
        <w:ind w:left="0" w:hanging="720"/>
        <w:rPr>
          <w:rFonts w:cs="Arial"/>
        </w:rPr>
      </w:pPr>
      <w:bookmarkStart w:id="193" w:name="_Toc436750301"/>
      <w:bookmarkStart w:id="194" w:name="_Toc443660591"/>
      <w:bookmarkStart w:id="195" w:name="_Toc429220"/>
      <w:bookmarkStart w:id="196" w:name="_Toc11662465"/>
      <w:bookmarkStart w:id="197" w:name="_Toc23400032"/>
      <w:r w:rsidRPr="003E0862">
        <w:rPr>
          <w:rFonts w:cs="Arial"/>
        </w:rPr>
        <w:t>Lighting Control Cabinet 120/240 30-Inch Special, Item SPV.0060.</w:t>
      </w:r>
      <w:bookmarkEnd w:id="193"/>
      <w:bookmarkEnd w:id="194"/>
      <w:r w:rsidRPr="003E0862">
        <w:rPr>
          <w:rFonts w:cs="Arial"/>
        </w:rPr>
        <w:t>02</w:t>
      </w:r>
      <w:r w:rsidR="00BC4FC3">
        <w:rPr>
          <w:rFonts w:cs="Arial"/>
        </w:rPr>
        <w:t>.</w:t>
      </w:r>
      <w:bookmarkEnd w:id="195"/>
      <w:bookmarkEnd w:id="196"/>
      <w:bookmarkEnd w:id="197"/>
    </w:p>
    <w:p w:rsidR="00F52055" w:rsidRPr="00D439F7" w:rsidRDefault="00F52055" w:rsidP="00D439F7">
      <w:pPr>
        <w:spacing w:before="0" w:after="0"/>
        <w:contextualSpacing/>
        <w:rPr>
          <w:rFonts w:cs="Arial"/>
          <w:b/>
        </w:rPr>
      </w:pPr>
      <w:bookmarkStart w:id="198" w:name="_Toc397694044"/>
      <w:bookmarkStart w:id="199" w:name="_Toc381068340"/>
      <w:bookmarkStart w:id="200" w:name="_Toc382632931"/>
      <w:bookmarkStart w:id="201" w:name="_Toc395690092"/>
      <w:bookmarkStart w:id="202" w:name="_Toc395783574"/>
      <w:r w:rsidRPr="00D439F7">
        <w:rPr>
          <w:rFonts w:cs="Arial"/>
          <w:b/>
        </w:rPr>
        <w:t>A  Description</w:t>
      </w:r>
    </w:p>
    <w:p w:rsidR="00F52055" w:rsidRPr="00D439F7" w:rsidRDefault="00F52055" w:rsidP="00D439F7">
      <w:pPr>
        <w:tabs>
          <w:tab w:val="left" w:pos="-720"/>
          <w:tab w:val="left" w:pos="0"/>
        </w:tabs>
        <w:suppressAutoHyphens/>
        <w:spacing w:before="0" w:after="0"/>
        <w:rPr>
          <w:rFonts w:eastAsia="Calibri" w:cs="Arial"/>
        </w:rPr>
      </w:pPr>
      <w:r w:rsidRPr="00D439F7">
        <w:rPr>
          <w:rFonts w:eastAsia="Calibri" w:cs="Arial"/>
        </w:rPr>
        <w:t>This special provision describes furnishing and installing a WisDOT Lighting Control Cabinet 120/240 30-Inch</w:t>
      </w:r>
      <w:r w:rsidR="00CD5AD9" w:rsidRPr="00CD5AD9">
        <w:rPr>
          <w:rFonts w:eastAsia="Calibri" w:cs="Arial"/>
        </w:rPr>
        <w:t xml:space="preserve"> </w:t>
      </w:r>
      <w:r w:rsidR="00CD5AD9" w:rsidRPr="00E0293C">
        <w:rPr>
          <w:rFonts w:eastAsia="Calibri" w:cs="Arial"/>
        </w:rPr>
        <w:t xml:space="preserve">except for the addition of festoon circuits.  This special </w:t>
      </w:r>
      <w:r w:rsidR="00CD5AD9">
        <w:rPr>
          <w:rFonts w:eastAsia="Calibri" w:cs="Arial"/>
        </w:rPr>
        <w:t xml:space="preserve">provision </w:t>
      </w:r>
      <w:r w:rsidR="00CD5AD9" w:rsidRPr="00E0293C">
        <w:rPr>
          <w:rFonts w:eastAsia="Calibri" w:cs="Arial"/>
        </w:rPr>
        <w:t>includes all power and control components within the cabinet as shown on the Plans and as describe</w:t>
      </w:r>
      <w:r w:rsidR="00CD5AD9">
        <w:rPr>
          <w:rFonts w:eastAsia="Calibri" w:cs="Arial"/>
        </w:rPr>
        <w:t>d</w:t>
      </w:r>
      <w:r w:rsidR="00CD5AD9" w:rsidRPr="00E0293C">
        <w:rPr>
          <w:rFonts w:eastAsia="Calibri" w:cs="Arial"/>
        </w:rPr>
        <w:t xml:space="preserve"> hereinafter.</w:t>
      </w:r>
      <w:r w:rsidRPr="00D439F7">
        <w:rPr>
          <w:rFonts w:eastAsia="Calibri" w:cs="Arial"/>
        </w:rPr>
        <w:t xml:space="preserve"> </w:t>
      </w:r>
    </w:p>
    <w:p w:rsidR="00F52055" w:rsidRPr="00D439F7" w:rsidRDefault="00F52055" w:rsidP="00D439F7">
      <w:pPr>
        <w:tabs>
          <w:tab w:val="left" w:pos="-720"/>
          <w:tab w:val="left" w:pos="0"/>
        </w:tabs>
        <w:suppressAutoHyphens/>
        <w:spacing w:before="0" w:after="0"/>
        <w:rPr>
          <w:rFonts w:eastAsia="Calibri" w:cs="Arial"/>
        </w:rPr>
      </w:pPr>
    </w:p>
    <w:p w:rsidR="00F52055" w:rsidRPr="00D439F7" w:rsidRDefault="00F52055" w:rsidP="00D439F7">
      <w:pPr>
        <w:spacing w:before="0" w:after="0"/>
        <w:rPr>
          <w:rFonts w:eastAsia="Calibri" w:cs="Arial"/>
          <w:b/>
          <w:bCs/>
        </w:rPr>
      </w:pPr>
      <w:r w:rsidRPr="00D439F7">
        <w:rPr>
          <w:rFonts w:eastAsia="Calibri" w:cs="Arial"/>
          <w:b/>
        </w:rPr>
        <w:t>B  Materials</w:t>
      </w:r>
    </w:p>
    <w:p w:rsidR="00F52055" w:rsidRPr="00D439F7" w:rsidRDefault="00F52055" w:rsidP="00D439F7">
      <w:pPr>
        <w:spacing w:before="240" w:after="0"/>
        <w:contextualSpacing/>
        <w:rPr>
          <w:rFonts w:cs="Arial"/>
        </w:rPr>
      </w:pPr>
      <w:r w:rsidRPr="00D439F7">
        <w:rPr>
          <w:rFonts w:cs="Arial"/>
        </w:rPr>
        <w:t xml:space="preserve">Furnish a WisDOT Lighting Control Cabinet 120/240 30-Inch in accordance with section 659 of the standard specifications and as shown in the plan details. </w:t>
      </w:r>
    </w:p>
    <w:p w:rsidR="00F52055" w:rsidRPr="00D439F7" w:rsidRDefault="00F52055" w:rsidP="00D439F7">
      <w:pPr>
        <w:spacing w:before="0" w:after="0"/>
        <w:rPr>
          <w:rFonts w:cs="Arial"/>
        </w:rPr>
      </w:pPr>
    </w:p>
    <w:p w:rsidR="00F52055" w:rsidRPr="00D439F7" w:rsidRDefault="00F52055" w:rsidP="00D439F7">
      <w:pPr>
        <w:spacing w:before="0" w:after="0"/>
        <w:rPr>
          <w:rFonts w:cs="Arial"/>
        </w:rPr>
      </w:pPr>
      <w:r w:rsidRPr="00D439F7">
        <w:rPr>
          <w:rFonts w:cs="Arial"/>
        </w:rPr>
        <w:t>Submit shop drawings for all parts and wiring plans to the Engineer for approval prior to ordering the equipment. The equipment shall not be ordered prior to approval of the shop drawings by the Engineer.</w:t>
      </w:r>
    </w:p>
    <w:p w:rsidR="00F52055" w:rsidRPr="00D439F7" w:rsidRDefault="00F52055" w:rsidP="00D439F7">
      <w:pPr>
        <w:spacing w:before="0" w:after="0"/>
        <w:rPr>
          <w:rFonts w:cs="Arial"/>
        </w:rPr>
      </w:pPr>
    </w:p>
    <w:p w:rsidR="00F52055" w:rsidRPr="00D439F7" w:rsidRDefault="00F52055" w:rsidP="00D439F7">
      <w:pPr>
        <w:spacing w:before="0" w:after="0"/>
        <w:rPr>
          <w:rFonts w:cs="Arial"/>
          <w:spacing w:val="-2"/>
        </w:rPr>
      </w:pPr>
      <w:r w:rsidRPr="00D439F7">
        <w:rPr>
          <w:rFonts w:eastAsia="Calibri" w:cs="Arial"/>
          <w:b/>
          <w:bCs/>
        </w:rPr>
        <w:t>C  Construction</w:t>
      </w:r>
    </w:p>
    <w:p w:rsidR="00F52055" w:rsidRPr="00D439F7" w:rsidRDefault="00F52055" w:rsidP="00D439F7">
      <w:pPr>
        <w:spacing w:before="0" w:after="0"/>
        <w:rPr>
          <w:rFonts w:cs="Arial"/>
        </w:rPr>
      </w:pPr>
      <w:r w:rsidRPr="00D439F7">
        <w:rPr>
          <w:rFonts w:cs="Arial"/>
        </w:rPr>
        <w:t xml:space="preserve">Construct the Lighting Control Cabinet in accordance with Section 659 of the standard specifications. </w:t>
      </w:r>
    </w:p>
    <w:p w:rsidR="00F52055" w:rsidRPr="00D439F7" w:rsidRDefault="00F52055" w:rsidP="00D439F7">
      <w:pPr>
        <w:spacing w:before="0" w:after="0"/>
        <w:rPr>
          <w:rFonts w:cs="Arial"/>
        </w:rPr>
      </w:pPr>
    </w:p>
    <w:p w:rsidR="00F52055" w:rsidRPr="00D439F7" w:rsidRDefault="00F52055" w:rsidP="00D439F7">
      <w:pPr>
        <w:spacing w:before="0" w:after="0"/>
        <w:rPr>
          <w:rFonts w:cs="Arial"/>
        </w:rPr>
      </w:pPr>
      <w:r w:rsidRPr="00D439F7">
        <w:rPr>
          <w:rFonts w:cs="Arial"/>
        </w:rPr>
        <w:t>Connect the control cabinet to the concrete base in accordance with the cabinet manufacturer’s recommendations and industry standards.</w:t>
      </w:r>
    </w:p>
    <w:p w:rsidR="00F52055" w:rsidRPr="00D439F7" w:rsidRDefault="00F52055" w:rsidP="00D439F7">
      <w:pPr>
        <w:spacing w:before="0" w:after="0"/>
        <w:rPr>
          <w:rFonts w:cs="Arial"/>
        </w:rPr>
      </w:pPr>
    </w:p>
    <w:p w:rsidR="00F52055" w:rsidRPr="00D439F7" w:rsidRDefault="00F52055" w:rsidP="00D439F7">
      <w:pPr>
        <w:spacing w:before="0" w:after="0"/>
        <w:rPr>
          <w:rFonts w:cs="Arial"/>
        </w:rPr>
      </w:pPr>
      <w:r w:rsidRPr="00D439F7">
        <w:rPr>
          <w:rFonts w:cs="Arial"/>
        </w:rPr>
        <w:t>Place a copy of the control cabinet wiring schematic in a plastic protector and affix to the inside of the door to the cabinet.</w:t>
      </w:r>
    </w:p>
    <w:p w:rsidR="00F52055" w:rsidRPr="00D439F7" w:rsidRDefault="00F52055" w:rsidP="00D439F7">
      <w:pPr>
        <w:spacing w:before="0" w:after="0"/>
        <w:rPr>
          <w:rFonts w:cs="Arial"/>
        </w:rPr>
      </w:pPr>
    </w:p>
    <w:p w:rsidR="00F52055" w:rsidRPr="00D439F7" w:rsidRDefault="00F52055" w:rsidP="00D439F7">
      <w:pPr>
        <w:spacing w:before="0" w:after="200" w:line="276" w:lineRule="auto"/>
        <w:contextualSpacing/>
        <w:rPr>
          <w:rFonts w:eastAsia="Calibri" w:cs="Arial"/>
          <w:b/>
        </w:rPr>
      </w:pPr>
      <w:r w:rsidRPr="00D439F7">
        <w:rPr>
          <w:rFonts w:eastAsia="Calibri" w:cs="Arial"/>
          <w:b/>
        </w:rPr>
        <w:t>D  Measurement</w:t>
      </w:r>
    </w:p>
    <w:p w:rsidR="00F52055" w:rsidRPr="00D439F7" w:rsidRDefault="00F52055" w:rsidP="00D439F7">
      <w:pPr>
        <w:spacing w:before="0" w:after="200" w:line="276" w:lineRule="auto"/>
        <w:rPr>
          <w:rFonts w:eastAsia="Calibri" w:cs="Arial"/>
          <w:b/>
        </w:rPr>
      </w:pPr>
      <w:r w:rsidRPr="00D439F7">
        <w:rPr>
          <w:rFonts w:cs="Arial"/>
        </w:rPr>
        <w:t xml:space="preserve">The department will measure Lighting Control Cabinet 120/240 30-Inch Special completed in accordance with the contract and accepted, as a unit of work.  </w:t>
      </w:r>
    </w:p>
    <w:p w:rsidR="00F52055" w:rsidRPr="00D439F7" w:rsidRDefault="00F52055" w:rsidP="00D439F7">
      <w:pPr>
        <w:spacing w:before="0" w:after="0"/>
        <w:rPr>
          <w:rFonts w:eastAsia="Calibri" w:cs="Arial"/>
          <w:b/>
        </w:rPr>
      </w:pPr>
      <w:r w:rsidRPr="00D439F7">
        <w:rPr>
          <w:rFonts w:eastAsia="Calibri" w:cs="Arial"/>
          <w:b/>
        </w:rPr>
        <w:t>E  Payment</w:t>
      </w:r>
    </w:p>
    <w:p w:rsidR="00F52055" w:rsidRPr="00D439F7" w:rsidRDefault="00F52055" w:rsidP="00D439F7">
      <w:pPr>
        <w:spacing w:before="0" w:after="0"/>
        <w:rPr>
          <w:rFonts w:cs="Arial"/>
        </w:rPr>
      </w:pPr>
      <w:r w:rsidRPr="00D439F7">
        <w:rPr>
          <w:rFonts w:cs="Arial"/>
        </w:rPr>
        <w:t>The department will pay for the measured quantity at the contract unit price under the following bid item:</w:t>
      </w:r>
    </w:p>
    <w:p w:rsidR="00F52055" w:rsidRPr="00D439F7" w:rsidRDefault="00F52055" w:rsidP="00D439F7">
      <w:pPr>
        <w:spacing w:before="0" w:after="0"/>
        <w:rPr>
          <w:rFonts w:eastAsia="Calibri" w:cs="Arial"/>
        </w:rPr>
      </w:pPr>
    </w:p>
    <w:tbl>
      <w:tblPr>
        <w:tblW w:w="9000" w:type="dxa"/>
        <w:tblInd w:w="738" w:type="dxa"/>
        <w:tblLook w:val="0000" w:firstRow="0" w:lastRow="0" w:firstColumn="0" w:lastColumn="0" w:noHBand="0" w:noVBand="0"/>
      </w:tblPr>
      <w:tblGrid>
        <w:gridCol w:w="1980"/>
        <w:gridCol w:w="5940"/>
        <w:gridCol w:w="1080"/>
      </w:tblGrid>
      <w:tr w:rsidR="00F52055" w:rsidRPr="00BC4FC3" w:rsidTr="001D16BE">
        <w:tc>
          <w:tcPr>
            <w:tcW w:w="1980" w:type="dxa"/>
          </w:tcPr>
          <w:p w:rsidR="00F52055" w:rsidRPr="00D439F7" w:rsidRDefault="00F52055" w:rsidP="00D439F7">
            <w:pPr>
              <w:keepNext/>
              <w:keepLines/>
              <w:spacing w:before="0" w:after="0"/>
              <w:rPr>
                <w:rFonts w:cs="Arial"/>
              </w:rPr>
            </w:pPr>
            <w:r w:rsidRPr="00D439F7">
              <w:rPr>
                <w:rFonts w:cs="Arial"/>
              </w:rPr>
              <w:t>ITEM NUMBER</w:t>
            </w:r>
          </w:p>
        </w:tc>
        <w:tc>
          <w:tcPr>
            <w:tcW w:w="5940" w:type="dxa"/>
          </w:tcPr>
          <w:p w:rsidR="00F52055" w:rsidRPr="00D439F7" w:rsidRDefault="00F52055" w:rsidP="00D439F7">
            <w:pPr>
              <w:keepNext/>
              <w:keepLines/>
              <w:spacing w:before="0" w:after="0"/>
              <w:rPr>
                <w:rFonts w:cs="Arial"/>
              </w:rPr>
            </w:pPr>
            <w:r w:rsidRPr="00D439F7">
              <w:rPr>
                <w:rFonts w:cs="Arial"/>
              </w:rPr>
              <w:t>DESCRIPTION</w:t>
            </w:r>
          </w:p>
        </w:tc>
        <w:tc>
          <w:tcPr>
            <w:tcW w:w="1080" w:type="dxa"/>
          </w:tcPr>
          <w:p w:rsidR="00F52055" w:rsidRPr="00D439F7" w:rsidRDefault="00F52055" w:rsidP="00D439F7">
            <w:pPr>
              <w:keepNext/>
              <w:keepLines/>
              <w:spacing w:before="0" w:after="0"/>
              <w:rPr>
                <w:rFonts w:cs="Arial"/>
              </w:rPr>
            </w:pPr>
            <w:r w:rsidRPr="00D439F7">
              <w:rPr>
                <w:rFonts w:cs="Arial"/>
              </w:rPr>
              <w:t>UNIT</w:t>
            </w:r>
          </w:p>
        </w:tc>
      </w:tr>
      <w:tr w:rsidR="00F52055" w:rsidRPr="00BC4FC3" w:rsidTr="001D16BE">
        <w:tc>
          <w:tcPr>
            <w:tcW w:w="1980" w:type="dxa"/>
          </w:tcPr>
          <w:p w:rsidR="00F52055" w:rsidRPr="00D439F7" w:rsidRDefault="00F52055" w:rsidP="00D439F7">
            <w:pPr>
              <w:keepNext/>
              <w:keepLines/>
              <w:spacing w:before="0" w:after="0"/>
              <w:rPr>
                <w:rFonts w:cs="Arial"/>
              </w:rPr>
            </w:pPr>
            <w:r w:rsidRPr="00D439F7">
              <w:rPr>
                <w:rFonts w:cs="Arial"/>
              </w:rPr>
              <w:t>SPV.0060.02</w:t>
            </w:r>
          </w:p>
          <w:p w:rsidR="00F52055" w:rsidRPr="00D439F7" w:rsidRDefault="00F52055" w:rsidP="00D439F7">
            <w:pPr>
              <w:keepNext/>
              <w:keepLines/>
              <w:spacing w:before="0" w:after="0"/>
              <w:rPr>
                <w:rFonts w:cs="Arial"/>
              </w:rPr>
            </w:pPr>
          </w:p>
        </w:tc>
        <w:tc>
          <w:tcPr>
            <w:tcW w:w="5940" w:type="dxa"/>
          </w:tcPr>
          <w:p w:rsidR="00F52055" w:rsidRPr="00D439F7" w:rsidRDefault="00F52055" w:rsidP="00D439F7">
            <w:pPr>
              <w:keepNext/>
              <w:keepLines/>
              <w:spacing w:before="0" w:after="0"/>
              <w:rPr>
                <w:rFonts w:cs="Arial"/>
              </w:rPr>
            </w:pPr>
            <w:r w:rsidRPr="00D439F7">
              <w:rPr>
                <w:rFonts w:cs="Arial"/>
              </w:rPr>
              <w:t>Lighting Control Cabinet 120/240 30-Inch Special</w:t>
            </w:r>
          </w:p>
        </w:tc>
        <w:tc>
          <w:tcPr>
            <w:tcW w:w="1080" w:type="dxa"/>
          </w:tcPr>
          <w:p w:rsidR="00F52055" w:rsidRPr="00D439F7" w:rsidRDefault="00F52055" w:rsidP="00D439F7">
            <w:pPr>
              <w:keepNext/>
              <w:keepLines/>
              <w:spacing w:before="0" w:after="0"/>
              <w:rPr>
                <w:rFonts w:cs="Arial"/>
                <w:spacing w:val="-2"/>
              </w:rPr>
            </w:pPr>
            <w:r w:rsidRPr="00D439F7">
              <w:rPr>
                <w:rFonts w:cs="Arial"/>
                <w:spacing w:val="-2"/>
              </w:rPr>
              <w:t>EACH</w:t>
            </w:r>
          </w:p>
          <w:p w:rsidR="00F52055" w:rsidRPr="00D439F7" w:rsidRDefault="00F52055" w:rsidP="00D439F7">
            <w:pPr>
              <w:keepNext/>
              <w:keepLines/>
              <w:spacing w:before="0" w:after="0"/>
              <w:rPr>
                <w:rFonts w:cs="Arial"/>
                <w:spacing w:val="-2"/>
              </w:rPr>
            </w:pPr>
          </w:p>
        </w:tc>
      </w:tr>
    </w:tbl>
    <w:bookmarkEnd w:id="198"/>
    <w:bookmarkEnd w:id="199"/>
    <w:bookmarkEnd w:id="200"/>
    <w:bookmarkEnd w:id="201"/>
    <w:bookmarkEnd w:id="202"/>
    <w:p w:rsidR="00DE0F18" w:rsidRPr="00D439F7" w:rsidRDefault="00F52055" w:rsidP="00D439F7">
      <w:pPr>
        <w:autoSpaceDE w:val="0"/>
        <w:autoSpaceDN w:val="0"/>
        <w:adjustRightInd w:val="0"/>
        <w:spacing w:before="0" w:after="0"/>
        <w:rPr>
          <w:rFonts w:eastAsia="Calibri" w:cs="Arial"/>
        </w:rPr>
      </w:pPr>
      <w:r w:rsidRPr="00D439F7">
        <w:rPr>
          <w:rFonts w:eastAsia="Calibri" w:cs="Arial"/>
        </w:rPr>
        <w:t>Payment is full compensation for furnishing and installing the lighting cabinet including circuit wiring connections, hardware, and fittings the plans show; and for making the lighting system fully operational.</w:t>
      </w:r>
    </w:p>
    <w:p w:rsidR="00F40391" w:rsidRPr="00F40391" w:rsidRDefault="00F40391" w:rsidP="00D439F7">
      <w:pPr>
        <w:pStyle w:val="1Heading1"/>
        <w:numPr>
          <w:ilvl w:val="0"/>
          <w:numId w:val="1"/>
        </w:numPr>
        <w:ind w:left="0" w:hanging="720"/>
        <w:rPr>
          <w:rFonts w:cs="Arial"/>
        </w:rPr>
      </w:pPr>
      <w:bookmarkStart w:id="203" w:name="_Toc23400033"/>
      <w:r w:rsidRPr="00F40391">
        <w:rPr>
          <w:rFonts w:cs="Arial"/>
        </w:rPr>
        <w:lastRenderedPageBreak/>
        <w:t>Excavation, Hauling, and Disposal of Lead Contaminated Soil, Item SPV.195.01</w:t>
      </w:r>
      <w:r>
        <w:rPr>
          <w:rFonts w:cs="Arial"/>
        </w:rPr>
        <w:t>.</w:t>
      </w:r>
      <w:bookmarkEnd w:id="203"/>
    </w:p>
    <w:p w:rsidR="00F40391" w:rsidRPr="00F40391" w:rsidRDefault="00F40391" w:rsidP="00D439F7">
      <w:pPr>
        <w:spacing w:before="0" w:after="0"/>
        <w:rPr>
          <w:rFonts w:cs="Arial"/>
          <w:b/>
        </w:rPr>
      </w:pPr>
      <w:r w:rsidRPr="00F40391">
        <w:rPr>
          <w:rFonts w:cs="Arial"/>
          <w:b/>
        </w:rPr>
        <w:t>A  Description</w:t>
      </w:r>
    </w:p>
    <w:p w:rsidR="00F40391" w:rsidRPr="00F40391" w:rsidRDefault="00F40391" w:rsidP="00D439F7">
      <w:pPr>
        <w:spacing w:before="0" w:after="0"/>
        <w:rPr>
          <w:rFonts w:cs="Arial"/>
          <w:b/>
        </w:rPr>
      </w:pPr>
      <w:proofErr w:type="gramStart"/>
      <w:r w:rsidRPr="00F40391">
        <w:rPr>
          <w:rFonts w:cs="Arial"/>
          <w:b/>
        </w:rPr>
        <w:t>A.1  General</w:t>
      </w:r>
      <w:proofErr w:type="gramEnd"/>
    </w:p>
    <w:p w:rsidR="00F40391" w:rsidRPr="00F40391" w:rsidRDefault="00F40391" w:rsidP="00D439F7">
      <w:pPr>
        <w:spacing w:before="0" w:after="0"/>
        <w:rPr>
          <w:rFonts w:cs="Arial"/>
        </w:rPr>
      </w:pPr>
      <w:r w:rsidRPr="00F40391">
        <w:rPr>
          <w:rFonts w:cs="Arial"/>
        </w:rPr>
        <w:t>This special provision describes excavating, loading, hauling, and disposing of lead contaminated soil exceeding the Chapter NR 720 RCL-</w:t>
      </w:r>
      <w:proofErr w:type="spellStart"/>
      <w:r w:rsidRPr="00F40391">
        <w:rPr>
          <w:rFonts w:cs="Arial"/>
        </w:rPr>
        <w:t>gw</w:t>
      </w:r>
      <w:proofErr w:type="spellEnd"/>
      <w:r w:rsidRPr="00F40391">
        <w:rPr>
          <w:rFonts w:cs="Arial"/>
        </w:rPr>
        <w:t xml:space="preserve"> for lead (27 mg/kg) at the Former Iola Mill site.  The nearest DNR licensed solid waste disposal facility is:</w:t>
      </w:r>
    </w:p>
    <w:p w:rsidR="00F40391" w:rsidRPr="00F40391" w:rsidRDefault="00F40391" w:rsidP="00D439F7">
      <w:pPr>
        <w:spacing w:before="0" w:after="0"/>
        <w:rPr>
          <w:rFonts w:cs="Arial"/>
        </w:rPr>
      </w:pPr>
    </w:p>
    <w:p w:rsidR="00F40391" w:rsidRPr="00F40391" w:rsidRDefault="00F40391" w:rsidP="00D439F7">
      <w:pPr>
        <w:spacing w:before="0" w:after="0"/>
        <w:ind w:right="-40"/>
        <w:rPr>
          <w:rFonts w:cs="Arial"/>
          <w:spacing w:val="3"/>
        </w:rPr>
      </w:pPr>
      <w:r w:rsidRPr="00F40391">
        <w:rPr>
          <w:rFonts w:cs="Arial"/>
          <w:spacing w:val="3"/>
        </w:rPr>
        <w:t>Marathon County Solid Waste Landfill</w:t>
      </w:r>
    </w:p>
    <w:p w:rsidR="00F40391" w:rsidRPr="00F40391" w:rsidRDefault="00F40391" w:rsidP="00D439F7">
      <w:pPr>
        <w:spacing w:before="0" w:after="0"/>
        <w:ind w:right="-40"/>
        <w:rPr>
          <w:rFonts w:cs="Arial"/>
          <w:spacing w:val="3"/>
        </w:rPr>
      </w:pPr>
      <w:r w:rsidRPr="00F40391">
        <w:rPr>
          <w:rFonts w:cs="Arial"/>
          <w:spacing w:val="3"/>
        </w:rPr>
        <w:t>R18500 East Highway 29</w:t>
      </w:r>
    </w:p>
    <w:p w:rsidR="00F40391" w:rsidRPr="00F40391" w:rsidRDefault="00F40391" w:rsidP="00D439F7">
      <w:pPr>
        <w:spacing w:before="0" w:after="0"/>
        <w:ind w:right="-40"/>
        <w:rPr>
          <w:rFonts w:cs="Arial"/>
          <w:spacing w:val="3"/>
        </w:rPr>
      </w:pPr>
      <w:proofErr w:type="spellStart"/>
      <w:r w:rsidRPr="00F40391">
        <w:rPr>
          <w:rFonts w:cs="Arial"/>
          <w:spacing w:val="3"/>
        </w:rPr>
        <w:t>Ringle</w:t>
      </w:r>
      <w:proofErr w:type="spellEnd"/>
      <w:r w:rsidRPr="00F40391">
        <w:rPr>
          <w:rFonts w:cs="Arial"/>
          <w:spacing w:val="3"/>
        </w:rPr>
        <w:t>, WI  54471</w:t>
      </w:r>
    </w:p>
    <w:p w:rsidR="00F40391" w:rsidRPr="00F40391" w:rsidRDefault="00F40391" w:rsidP="00D439F7">
      <w:pPr>
        <w:spacing w:before="0" w:after="0"/>
        <w:ind w:right="-40"/>
        <w:rPr>
          <w:rFonts w:cs="Arial"/>
          <w:spacing w:val="3"/>
        </w:rPr>
      </w:pPr>
      <w:r w:rsidRPr="00F40391">
        <w:rPr>
          <w:rFonts w:cs="Arial"/>
          <w:spacing w:val="3"/>
        </w:rPr>
        <w:t xml:space="preserve">Contact:  </w:t>
      </w:r>
      <w:proofErr w:type="spellStart"/>
      <w:r w:rsidRPr="00F40391">
        <w:rPr>
          <w:rFonts w:cs="Arial"/>
          <w:spacing w:val="3"/>
        </w:rPr>
        <w:t>Meleesa</w:t>
      </w:r>
      <w:proofErr w:type="spellEnd"/>
      <w:r w:rsidRPr="00F40391">
        <w:rPr>
          <w:rFonts w:cs="Arial"/>
          <w:spacing w:val="3"/>
        </w:rPr>
        <w:t xml:space="preserve"> Johnson</w:t>
      </w:r>
    </w:p>
    <w:p w:rsidR="00F40391" w:rsidRPr="00F40391" w:rsidRDefault="00F40391" w:rsidP="00D439F7">
      <w:pPr>
        <w:spacing w:before="0" w:after="0"/>
        <w:ind w:right="-40"/>
        <w:rPr>
          <w:rFonts w:cs="Arial"/>
          <w:spacing w:val="3"/>
        </w:rPr>
      </w:pPr>
      <w:r w:rsidRPr="00F40391">
        <w:rPr>
          <w:rFonts w:cs="Arial"/>
          <w:spacing w:val="3"/>
        </w:rPr>
        <w:t>Telephone:  (715) 446-3101</w:t>
      </w:r>
    </w:p>
    <w:p w:rsidR="00F40391" w:rsidRPr="00F40391" w:rsidRDefault="00F40391" w:rsidP="00D439F7">
      <w:pPr>
        <w:spacing w:before="0" w:after="0"/>
        <w:ind w:right="-40"/>
        <w:rPr>
          <w:rFonts w:cs="Arial"/>
          <w:spacing w:val="3"/>
        </w:rPr>
      </w:pPr>
      <w:r w:rsidRPr="00F40391">
        <w:rPr>
          <w:rFonts w:cs="Arial"/>
          <w:spacing w:val="3"/>
        </w:rPr>
        <w:t>Email:  meleesa.johnson@co.marathon.wi.us</w:t>
      </w:r>
    </w:p>
    <w:p w:rsidR="00F40391" w:rsidRPr="00F40391" w:rsidRDefault="00F40391" w:rsidP="00D439F7">
      <w:pPr>
        <w:spacing w:before="0" w:after="0"/>
        <w:rPr>
          <w:rFonts w:cs="Arial"/>
          <w:spacing w:val="3"/>
        </w:rPr>
      </w:pPr>
    </w:p>
    <w:p w:rsidR="00F40391" w:rsidRPr="00F40391" w:rsidRDefault="00F40391" w:rsidP="00D439F7">
      <w:pPr>
        <w:spacing w:before="0" w:after="0"/>
        <w:rPr>
          <w:rFonts w:eastAsia="Times New Roman" w:cs="Arial"/>
          <w:noProof/>
          <w:color w:val="000000"/>
          <w:spacing w:val="3"/>
        </w:rPr>
      </w:pPr>
      <w:r w:rsidRPr="00F40391">
        <w:rPr>
          <w:rFonts w:eastAsia="Times New Roman" w:cs="Arial"/>
          <w:noProof/>
          <w:color w:val="000000"/>
          <w:spacing w:val="3"/>
        </w:rPr>
        <w:t xml:space="preserve">A waste generator profile for contaminated soil excavated at </w:t>
      </w:r>
      <w:r w:rsidRPr="00F40391">
        <w:rPr>
          <w:rFonts w:eastAsia="Times New Roman" w:cs="Arial"/>
          <w:noProof/>
          <w:color w:val="000000"/>
        </w:rPr>
        <w:t>at the Former Iola Mill site</w:t>
      </w:r>
      <w:r w:rsidRPr="00F40391">
        <w:rPr>
          <w:rFonts w:eastAsia="Times New Roman" w:cs="Arial"/>
          <w:noProof/>
          <w:color w:val="000000"/>
          <w:spacing w:val="3"/>
        </w:rPr>
        <w:t xml:space="preserve"> must be approved by </w:t>
      </w:r>
      <w:r w:rsidRPr="00F40391">
        <w:rPr>
          <w:rFonts w:eastAsia="Times New Roman" w:cs="Arial"/>
          <w:noProof/>
          <w:spacing w:val="3"/>
        </w:rPr>
        <w:t xml:space="preserve">the disposal facility </w:t>
      </w:r>
      <w:r w:rsidRPr="00F40391">
        <w:rPr>
          <w:rFonts w:eastAsia="Times New Roman" w:cs="Arial"/>
          <w:noProof/>
          <w:color w:val="000000"/>
          <w:spacing w:val="3"/>
        </w:rPr>
        <w:t xml:space="preserve">prior to off-site disposal.  The department’s environmental coordinator or the environmental consultant, acting as agent for the department, will obtain final approval(s) from the landfill and will provide a signature on the contaminated soil profile form for the project.  </w:t>
      </w:r>
      <w:r w:rsidRPr="00F40391">
        <w:rPr>
          <w:rFonts w:eastAsia="Times New Roman" w:cs="Arial"/>
          <w:noProof/>
          <w:color w:val="000000"/>
          <w:spacing w:val="1"/>
        </w:rPr>
        <w:t>Do not transport contaminated soil off</w:t>
      </w:r>
      <w:r w:rsidRPr="00F40391">
        <w:rPr>
          <w:rFonts w:eastAsia="Times New Roman" w:cs="Arial"/>
          <w:noProof/>
          <w:color w:val="000000"/>
          <w:spacing w:val="1"/>
        </w:rPr>
        <w:noBreakHyphen/>
      </w:r>
      <w:r w:rsidRPr="00F40391">
        <w:rPr>
          <w:rFonts w:eastAsia="Times New Roman" w:cs="Arial"/>
          <w:noProof/>
          <w:color w:val="000000"/>
        </w:rPr>
        <w:t>site without prior approval from the landfill and engineer or environmental consultant.</w:t>
      </w:r>
    </w:p>
    <w:p w:rsidR="00F40391" w:rsidRPr="00F40391" w:rsidRDefault="00F40391" w:rsidP="00D439F7">
      <w:pPr>
        <w:spacing w:before="0" w:after="0"/>
        <w:rPr>
          <w:rFonts w:cs="Arial"/>
          <w:spacing w:val="3"/>
        </w:rPr>
      </w:pPr>
    </w:p>
    <w:p w:rsidR="00F40391" w:rsidRPr="00F40391" w:rsidRDefault="00F40391" w:rsidP="00D439F7">
      <w:pPr>
        <w:spacing w:before="0" w:after="0"/>
        <w:rPr>
          <w:rFonts w:cs="Arial"/>
          <w:spacing w:val="3"/>
        </w:rPr>
      </w:pPr>
      <w:r w:rsidRPr="00F40391">
        <w:rPr>
          <w:rFonts w:cs="Arial"/>
          <w:spacing w:val="3"/>
        </w:rPr>
        <w:t>Provide billing information to contractor’s selected facility at least 14 calendar days prior to the start of excavation in contaminated soil areas.</w:t>
      </w:r>
    </w:p>
    <w:p w:rsidR="00F40391" w:rsidRPr="00F40391" w:rsidRDefault="00F40391" w:rsidP="00D439F7">
      <w:pPr>
        <w:spacing w:before="0" w:after="0"/>
        <w:rPr>
          <w:rFonts w:cs="Arial"/>
        </w:rPr>
      </w:pPr>
    </w:p>
    <w:p w:rsidR="00F40391" w:rsidRPr="00F40391" w:rsidRDefault="00F40391" w:rsidP="00D439F7">
      <w:pPr>
        <w:spacing w:before="0" w:after="0"/>
        <w:rPr>
          <w:rFonts w:cs="Arial"/>
        </w:rPr>
      </w:pPr>
      <w:r w:rsidRPr="00F40391">
        <w:rPr>
          <w:rFonts w:cs="Arial"/>
        </w:rPr>
        <w:t>Perform this work in accordance with Section 205 of the standard specifications and with pertinent parts of Chapters NR 700-754 of the Wisconsin Administrative Code, as supplemented herein. Per NR 718.07, a solid waste collection and transportation service-operating license is required under NR 502.06 for each vehicle used to transport contaminated soil.</w:t>
      </w:r>
    </w:p>
    <w:p w:rsidR="00F40391" w:rsidRPr="00F40391" w:rsidRDefault="00F40391" w:rsidP="00D439F7">
      <w:pPr>
        <w:spacing w:before="0" w:after="0"/>
        <w:rPr>
          <w:rFonts w:cs="Arial"/>
        </w:rPr>
      </w:pPr>
    </w:p>
    <w:p w:rsidR="00F40391" w:rsidRPr="00F40391" w:rsidRDefault="00F40391" w:rsidP="00D439F7">
      <w:pPr>
        <w:spacing w:before="0" w:after="0"/>
        <w:rPr>
          <w:rFonts w:eastAsia="Times New Roman" w:cs="Arial"/>
          <w:noProof/>
          <w:color w:val="000000"/>
        </w:rPr>
      </w:pPr>
      <w:r w:rsidRPr="00F40391">
        <w:rPr>
          <w:rFonts w:eastAsia="Times New Roman" w:cs="Arial"/>
          <w:noProof/>
          <w:color w:val="000000"/>
        </w:rPr>
        <w:t xml:space="preserve">If </w:t>
      </w:r>
      <w:r w:rsidRPr="00F40391">
        <w:rPr>
          <w:rFonts w:eastAsia="Times New Roman" w:cs="Arial"/>
          <w:noProof/>
          <w:spacing w:val="3"/>
        </w:rPr>
        <w:t xml:space="preserve">contractor’s selected disposal facility </w:t>
      </w:r>
      <w:r w:rsidRPr="00F40391">
        <w:rPr>
          <w:rFonts w:eastAsia="Times New Roman" w:cs="Arial"/>
          <w:noProof/>
          <w:color w:val="000000"/>
          <w:spacing w:val="3"/>
        </w:rPr>
        <w:t>is not avaiable</w:t>
      </w:r>
      <w:r w:rsidRPr="00F40391">
        <w:rPr>
          <w:rFonts w:eastAsia="Times New Roman" w:cs="Arial"/>
          <w:noProof/>
          <w:color w:val="000000"/>
          <w:spacing w:val="11"/>
        </w:rPr>
        <w:t>, i</w:t>
      </w:r>
      <w:r w:rsidRPr="00F40391">
        <w:rPr>
          <w:rFonts w:eastAsia="Times New Roman" w:cs="Arial"/>
          <w:noProof/>
          <w:color w:val="000000"/>
        </w:rPr>
        <w:t>dentify an alternative WDNR</w:t>
      </w:r>
      <w:r w:rsidRPr="00F40391">
        <w:rPr>
          <w:rFonts w:eastAsia="Times New Roman" w:cs="Arial"/>
          <w:noProof/>
          <w:color w:val="000000"/>
        </w:rPr>
        <w:noBreakHyphen/>
        <w:t xml:space="preserve">approved landfill/bioremediation </w:t>
      </w:r>
      <w:r w:rsidRPr="00F40391">
        <w:rPr>
          <w:rFonts w:eastAsia="Times New Roman" w:cs="Arial"/>
          <w:noProof/>
          <w:color w:val="000000"/>
          <w:spacing w:val="11"/>
        </w:rPr>
        <w:t>facility no later than 30 days prior to excavation at the contaminated areas.</w:t>
      </w:r>
    </w:p>
    <w:p w:rsidR="00F40391" w:rsidRPr="00F40391" w:rsidRDefault="00F40391" w:rsidP="00D439F7">
      <w:pPr>
        <w:spacing w:before="0" w:after="0"/>
        <w:rPr>
          <w:rFonts w:cs="Arial"/>
        </w:rPr>
      </w:pPr>
    </w:p>
    <w:p w:rsidR="00F40391" w:rsidRPr="00F40391" w:rsidRDefault="00F40391" w:rsidP="00D439F7">
      <w:pPr>
        <w:spacing w:before="0" w:after="0"/>
        <w:rPr>
          <w:rFonts w:cs="Arial"/>
        </w:rPr>
      </w:pPr>
      <w:proofErr w:type="gramStart"/>
      <w:r w:rsidRPr="00F40391">
        <w:rPr>
          <w:rFonts w:cs="Arial"/>
          <w:b/>
        </w:rPr>
        <w:t>A.2  Notice</w:t>
      </w:r>
      <w:proofErr w:type="gramEnd"/>
      <w:r w:rsidRPr="00F40391">
        <w:rPr>
          <w:rFonts w:cs="Arial"/>
          <w:b/>
        </w:rPr>
        <w:t xml:space="preserve"> to the Contractor – Lead Contaminated Soil Location</w:t>
      </w:r>
    </w:p>
    <w:p w:rsidR="00F40391" w:rsidRPr="00F40391" w:rsidRDefault="00F40391" w:rsidP="00D439F7">
      <w:pPr>
        <w:spacing w:before="0" w:after="0"/>
        <w:rPr>
          <w:rFonts w:cs="Arial"/>
        </w:rPr>
      </w:pPr>
      <w:r w:rsidRPr="00F40391">
        <w:rPr>
          <w:rFonts w:cs="Arial"/>
        </w:rPr>
        <w:t>The department and others have completed testing for soil contamination for locations within this project where excavation is required. Testing indicated that lead contaminated soil exceeding the Chapter NR 720 RCL-</w:t>
      </w:r>
      <w:proofErr w:type="spellStart"/>
      <w:r w:rsidRPr="00F40391">
        <w:rPr>
          <w:rFonts w:cs="Arial"/>
        </w:rPr>
        <w:t>gw</w:t>
      </w:r>
      <w:proofErr w:type="spellEnd"/>
      <w:r w:rsidRPr="00F40391">
        <w:rPr>
          <w:rFonts w:cs="Arial"/>
        </w:rPr>
        <w:t xml:space="preserve"> (27 mg/kg) is known to be or may be present at the Former Iola Mill site listed in Hazardous Materials Contamination and as shown on the plans.</w:t>
      </w:r>
    </w:p>
    <w:p w:rsidR="00F40391" w:rsidRPr="00F40391" w:rsidRDefault="00F40391" w:rsidP="00D439F7">
      <w:pPr>
        <w:spacing w:before="0" w:after="0"/>
        <w:rPr>
          <w:rFonts w:cs="Arial"/>
          <w:b/>
        </w:rPr>
      </w:pPr>
    </w:p>
    <w:p w:rsidR="00F40391" w:rsidRPr="00F40391" w:rsidRDefault="00F40391" w:rsidP="00D439F7">
      <w:pPr>
        <w:spacing w:before="0" w:after="0"/>
        <w:rPr>
          <w:rFonts w:cs="Arial"/>
        </w:rPr>
      </w:pPr>
      <w:r w:rsidRPr="00F40391">
        <w:rPr>
          <w:rFonts w:cs="Arial"/>
        </w:rPr>
        <w:t>If contaminated soil or underground storage tanks are encountered elsewhere on the project, terminate excavation activities in the area and notify the engineer.</w:t>
      </w:r>
    </w:p>
    <w:p w:rsidR="00F40391" w:rsidRPr="00F40391" w:rsidRDefault="00F40391" w:rsidP="00D439F7">
      <w:pPr>
        <w:spacing w:before="0" w:after="0"/>
        <w:rPr>
          <w:rFonts w:cs="Arial"/>
        </w:rPr>
      </w:pPr>
    </w:p>
    <w:p w:rsidR="00F40391" w:rsidRPr="00F40391" w:rsidRDefault="00F40391" w:rsidP="00D439F7">
      <w:pPr>
        <w:keepNext/>
        <w:spacing w:before="0" w:after="0"/>
        <w:rPr>
          <w:rFonts w:cs="Arial"/>
          <w:b/>
        </w:rPr>
      </w:pPr>
      <w:proofErr w:type="gramStart"/>
      <w:r w:rsidRPr="00F40391">
        <w:rPr>
          <w:rFonts w:cs="Arial"/>
          <w:b/>
        </w:rPr>
        <w:t>A.3  Coordination</w:t>
      </w:r>
      <w:proofErr w:type="gramEnd"/>
    </w:p>
    <w:p w:rsidR="00F40391" w:rsidRPr="00F40391" w:rsidRDefault="00F40391" w:rsidP="00D439F7">
      <w:pPr>
        <w:keepNext/>
        <w:spacing w:before="0" w:after="0"/>
        <w:rPr>
          <w:rFonts w:cs="Arial"/>
        </w:rPr>
      </w:pPr>
      <w:r w:rsidRPr="00F40391">
        <w:rPr>
          <w:rFonts w:cs="Arial"/>
        </w:rPr>
        <w:t xml:space="preserve">Coordinate work under this contract with the department’s environmental consultant. </w:t>
      </w:r>
    </w:p>
    <w:p w:rsidR="00F40391" w:rsidRPr="00F40391" w:rsidRDefault="00F40391" w:rsidP="00D439F7">
      <w:pPr>
        <w:tabs>
          <w:tab w:val="left" w:pos="1080"/>
        </w:tabs>
        <w:spacing w:before="0" w:after="0"/>
        <w:rPr>
          <w:rFonts w:cs="Arial"/>
        </w:rPr>
      </w:pPr>
    </w:p>
    <w:p w:rsidR="00F40391" w:rsidRPr="00F40391" w:rsidRDefault="00F40391" w:rsidP="00D439F7">
      <w:pPr>
        <w:tabs>
          <w:tab w:val="left" w:pos="1080"/>
        </w:tabs>
        <w:spacing w:before="0" w:after="0"/>
        <w:rPr>
          <w:rFonts w:cs="Arial"/>
        </w:rPr>
      </w:pPr>
      <w:r w:rsidRPr="00F40391">
        <w:rPr>
          <w:rFonts w:cs="Arial"/>
        </w:rPr>
        <w:t>The role of the environmental consultant will be limited to:</w:t>
      </w:r>
    </w:p>
    <w:p w:rsidR="00F40391" w:rsidRPr="00F40391" w:rsidRDefault="00F40391" w:rsidP="00D439F7">
      <w:pPr>
        <w:tabs>
          <w:tab w:val="left" w:pos="1080"/>
        </w:tabs>
        <w:spacing w:before="0" w:after="0"/>
        <w:rPr>
          <w:rFonts w:cs="Arial"/>
        </w:rPr>
      </w:pPr>
    </w:p>
    <w:p w:rsidR="00F40391" w:rsidRPr="00F40391" w:rsidRDefault="00F40391" w:rsidP="00D439F7">
      <w:pPr>
        <w:numPr>
          <w:ilvl w:val="0"/>
          <w:numId w:val="15"/>
        </w:numPr>
        <w:suppressAutoHyphens/>
        <w:spacing w:before="0" w:after="0"/>
        <w:ind w:left="810" w:hanging="450"/>
        <w:contextualSpacing/>
        <w:rPr>
          <w:rFonts w:cs="Arial"/>
        </w:rPr>
      </w:pPr>
      <w:r w:rsidRPr="00F40391">
        <w:rPr>
          <w:rFonts w:cs="Arial"/>
        </w:rPr>
        <w:t>Identifying the location and limits of contaminated soil that may be encountered based on soil sample analytical results from previous investigations, visual observation, and field screening of soil that is excavated;</w:t>
      </w:r>
    </w:p>
    <w:p w:rsidR="00F40391" w:rsidRPr="00F40391" w:rsidRDefault="00F40391" w:rsidP="00D439F7">
      <w:pPr>
        <w:tabs>
          <w:tab w:val="left" w:pos="1080"/>
        </w:tabs>
        <w:spacing w:before="0" w:after="0"/>
        <w:rPr>
          <w:rFonts w:cs="Arial"/>
        </w:rPr>
      </w:pPr>
    </w:p>
    <w:p w:rsidR="00F40391" w:rsidRPr="00F40391" w:rsidRDefault="00F40391" w:rsidP="00D439F7">
      <w:pPr>
        <w:numPr>
          <w:ilvl w:val="0"/>
          <w:numId w:val="15"/>
        </w:numPr>
        <w:suppressAutoHyphens/>
        <w:spacing w:before="0" w:after="0"/>
        <w:ind w:left="810" w:hanging="450"/>
        <w:contextualSpacing/>
        <w:rPr>
          <w:rFonts w:cs="Arial"/>
        </w:rPr>
      </w:pPr>
      <w:r w:rsidRPr="00F40391">
        <w:rPr>
          <w:rFonts w:cs="Arial"/>
        </w:rPr>
        <w:t>Determining if soil excavated from the contaminated soil management area(s) can be reused as fill in the areas from which it was excavated or if the soil will require off</w:t>
      </w:r>
      <w:r w:rsidRPr="00F40391">
        <w:rPr>
          <w:rFonts w:cs="Arial"/>
        </w:rPr>
        <w:noBreakHyphen/>
        <w:t>site treatment and disposal;</w:t>
      </w:r>
    </w:p>
    <w:p w:rsidR="00F40391" w:rsidRPr="00F40391" w:rsidRDefault="00F40391" w:rsidP="00D439F7">
      <w:pPr>
        <w:suppressAutoHyphens/>
        <w:spacing w:before="0" w:after="0"/>
        <w:ind w:left="810"/>
        <w:contextualSpacing/>
        <w:rPr>
          <w:rFonts w:cs="Arial"/>
        </w:rPr>
      </w:pPr>
    </w:p>
    <w:p w:rsidR="00F40391" w:rsidRPr="00F40391" w:rsidRDefault="00F40391" w:rsidP="00D439F7">
      <w:pPr>
        <w:numPr>
          <w:ilvl w:val="0"/>
          <w:numId w:val="15"/>
        </w:numPr>
        <w:suppressAutoHyphens/>
        <w:spacing w:before="0" w:after="0"/>
        <w:ind w:left="810" w:hanging="450"/>
        <w:contextualSpacing/>
        <w:rPr>
          <w:rFonts w:cs="Arial"/>
        </w:rPr>
      </w:pPr>
      <w:r w:rsidRPr="00F40391">
        <w:rPr>
          <w:rFonts w:cs="Arial"/>
        </w:rPr>
        <w:t>Assisting the department with coordinating treatment and disposal of the excavated, contaminated soil not suitable for reuse as fill; and</w:t>
      </w:r>
    </w:p>
    <w:p w:rsidR="00F40391" w:rsidRPr="00F40391" w:rsidRDefault="00F40391" w:rsidP="00D439F7">
      <w:pPr>
        <w:suppressAutoHyphens/>
        <w:spacing w:before="0" w:after="0"/>
        <w:ind w:left="810"/>
        <w:contextualSpacing/>
        <w:rPr>
          <w:rFonts w:cs="Arial"/>
        </w:rPr>
      </w:pPr>
    </w:p>
    <w:p w:rsidR="00F40391" w:rsidRPr="00F40391" w:rsidRDefault="00F40391" w:rsidP="00D439F7">
      <w:pPr>
        <w:numPr>
          <w:ilvl w:val="0"/>
          <w:numId w:val="15"/>
        </w:numPr>
        <w:suppressAutoHyphens/>
        <w:spacing w:before="0" w:after="0"/>
        <w:ind w:left="810" w:hanging="450"/>
        <w:contextualSpacing/>
        <w:rPr>
          <w:rFonts w:cs="Arial"/>
        </w:rPr>
      </w:pPr>
      <w:r w:rsidRPr="00F40391">
        <w:rPr>
          <w:rFonts w:cs="Arial"/>
        </w:rPr>
        <w:t>Documenting that activities associated with management of contaminated soil are in conformance with the contaminated soil management method for this project as specified herein.</w:t>
      </w:r>
    </w:p>
    <w:p w:rsidR="00F40391" w:rsidRPr="00F40391" w:rsidRDefault="00F40391" w:rsidP="00D439F7">
      <w:pPr>
        <w:spacing w:before="0" w:after="0"/>
        <w:rPr>
          <w:rFonts w:cs="Arial"/>
        </w:rPr>
      </w:pPr>
    </w:p>
    <w:p w:rsidR="00F40391" w:rsidRPr="00F40391" w:rsidRDefault="00F40391" w:rsidP="00D439F7">
      <w:pPr>
        <w:spacing w:before="0" w:after="0"/>
        <w:rPr>
          <w:rFonts w:cs="Arial"/>
        </w:rPr>
      </w:pPr>
      <w:r w:rsidRPr="00F40391">
        <w:rPr>
          <w:rFonts w:cs="Arial"/>
        </w:rPr>
        <w:lastRenderedPageBreak/>
        <w:t xml:space="preserve">At the pre-construction conference, provide a schedule for all excavation activities in the contaminated area(s) to the engineer and environmental consultant.  </w:t>
      </w:r>
    </w:p>
    <w:p w:rsidR="00F40391" w:rsidRPr="00F40391" w:rsidRDefault="00F40391" w:rsidP="00D439F7">
      <w:pPr>
        <w:spacing w:before="0" w:after="0"/>
        <w:rPr>
          <w:rFonts w:cs="Arial"/>
        </w:rPr>
      </w:pPr>
    </w:p>
    <w:p w:rsidR="00F40391" w:rsidRPr="00F40391" w:rsidRDefault="00F40391" w:rsidP="00D439F7">
      <w:pPr>
        <w:spacing w:before="0" w:after="0"/>
        <w:rPr>
          <w:rFonts w:cs="Arial"/>
        </w:rPr>
      </w:pPr>
      <w:r w:rsidRPr="00F40391">
        <w:rPr>
          <w:rFonts w:cs="Arial"/>
        </w:rPr>
        <w:t>Notify the environmental consultant at least 14 calendar days prior to commencement of excavation activities in the contaminated area(s).</w:t>
      </w:r>
    </w:p>
    <w:p w:rsidR="00F40391" w:rsidRPr="00F40391" w:rsidRDefault="00F40391" w:rsidP="00D439F7">
      <w:pPr>
        <w:spacing w:before="0" w:after="0"/>
        <w:rPr>
          <w:rFonts w:cs="Arial"/>
        </w:rPr>
      </w:pPr>
    </w:p>
    <w:p w:rsidR="00F40391" w:rsidRPr="00F40391" w:rsidRDefault="00F40391" w:rsidP="00D439F7">
      <w:pPr>
        <w:spacing w:before="0" w:after="0"/>
        <w:rPr>
          <w:rFonts w:cs="Arial"/>
        </w:rPr>
      </w:pPr>
      <w:r w:rsidRPr="00F40391">
        <w:rPr>
          <w:rFonts w:cs="Arial"/>
        </w:rPr>
        <w:t>Coordinate to ensure that the environmental consultant is present during excavation activities in the contaminated soil management area(s).  Excavation work in the contaminated soil area(s) shall proceed on a continuous basis until excavation work is completed.</w:t>
      </w:r>
    </w:p>
    <w:p w:rsidR="00F40391" w:rsidRPr="00F40391" w:rsidRDefault="00F40391" w:rsidP="00D439F7">
      <w:pPr>
        <w:spacing w:before="0" w:after="0"/>
        <w:rPr>
          <w:rFonts w:cs="Arial"/>
          <w:spacing w:val="-2"/>
        </w:rPr>
      </w:pPr>
    </w:p>
    <w:p w:rsidR="00F40391" w:rsidRPr="00F40391" w:rsidRDefault="00F40391" w:rsidP="00D439F7">
      <w:pPr>
        <w:keepLines/>
        <w:suppressAutoHyphens/>
        <w:spacing w:before="0" w:after="0"/>
        <w:rPr>
          <w:rFonts w:cs="Arial"/>
        </w:rPr>
      </w:pPr>
      <w:proofErr w:type="gramStart"/>
      <w:r w:rsidRPr="00F40391">
        <w:rPr>
          <w:rFonts w:cs="Arial"/>
          <w:b/>
          <w:bCs/>
          <w:spacing w:val="-2"/>
        </w:rPr>
        <w:t>A.4  Material</w:t>
      </w:r>
      <w:proofErr w:type="gramEnd"/>
      <w:r w:rsidRPr="00F40391">
        <w:rPr>
          <w:rFonts w:cs="Arial"/>
          <w:b/>
          <w:bCs/>
          <w:spacing w:val="-2"/>
        </w:rPr>
        <w:t xml:space="preserve"> Handling Plan</w:t>
      </w:r>
    </w:p>
    <w:p w:rsidR="00F40391" w:rsidRPr="00F40391" w:rsidRDefault="00F40391" w:rsidP="00D439F7">
      <w:pPr>
        <w:spacing w:before="0" w:after="0"/>
        <w:rPr>
          <w:rFonts w:cs="Arial"/>
        </w:rPr>
      </w:pPr>
      <w:r w:rsidRPr="00F40391">
        <w:rPr>
          <w:rFonts w:cs="Arial"/>
        </w:rPr>
        <w:t>The method for managing lead contaminated soil exceeding the Chapter NR 720 RCL-</w:t>
      </w:r>
      <w:proofErr w:type="spellStart"/>
      <w:r w:rsidRPr="00F40391">
        <w:rPr>
          <w:rFonts w:cs="Arial"/>
        </w:rPr>
        <w:t>gw</w:t>
      </w:r>
      <w:proofErr w:type="spellEnd"/>
      <w:r w:rsidRPr="00F40391">
        <w:rPr>
          <w:rFonts w:cs="Arial"/>
        </w:rPr>
        <w:t xml:space="preserve"> for lead (27 mg/kg) during this project was developed in accordance with the provisions of Chapter NR 718 of the Wisconsin Administrative Code.</w:t>
      </w:r>
    </w:p>
    <w:p w:rsidR="00F40391" w:rsidRPr="00F40391" w:rsidRDefault="00F40391" w:rsidP="00D439F7">
      <w:pPr>
        <w:tabs>
          <w:tab w:val="left" w:pos="1080"/>
        </w:tabs>
        <w:spacing w:before="0" w:after="0"/>
        <w:rPr>
          <w:rFonts w:cs="Arial"/>
          <w:spacing w:val="-2"/>
        </w:rPr>
      </w:pPr>
    </w:p>
    <w:p w:rsidR="00F40391" w:rsidRPr="00F40391" w:rsidRDefault="00F40391" w:rsidP="00D439F7">
      <w:pPr>
        <w:spacing w:before="0" w:after="0"/>
        <w:rPr>
          <w:rFonts w:cs="Arial"/>
          <w:b/>
        </w:rPr>
      </w:pPr>
      <w:proofErr w:type="gramStart"/>
      <w:r w:rsidRPr="00F40391">
        <w:rPr>
          <w:rFonts w:cs="Arial"/>
          <w:b/>
        </w:rPr>
        <w:t>B  (</w:t>
      </w:r>
      <w:proofErr w:type="gramEnd"/>
      <w:r w:rsidRPr="00F40391">
        <w:rPr>
          <w:rFonts w:cs="Arial"/>
          <w:b/>
        </w:rPr>
        <w:t>Vacant)</w:t>
      </w:r>
    </w:p>
    <w:p w:rsidR="00F40391" w:rsidRPr="00F40391" w:rsidRDefault="00F40391" w:rsidP="00D439F7">
      <w:pPr>
        <w:spacing w:before="0" w:after="0"/>
        <w:rPr>
          <w:rFonts w:cs="Arial"/>
        </w:rPr>
      </w:pPr>
    </w:p>
    <w:p w:rsidR="00F40391" w:rsidRPr="00F40391" w:rsidRDefault="00F40391" w:rsidP="00D439F7">
      <w:pPr>
        <w:spacing w:before="0" w:after="0"/>
        <w:rPr>
          <w:rFonts w:cs="Arial"/>
          <w:b/>
        </w:rPr>
      </w:pPr>
      <w:r w:rsidRPr="00F40391">
        <w:rPr>
          <w:rFonts w:cs="Arial"/>
          <w:b/>
        </w:rPr>
        <w:t>C  Construction</w:t>
      </w:r>
    </w:p>
    <w:p w:rsidR="00F40391" w:rsidRPr="00F40391" w:rsidRDefault="00F40391" w:rsidP="00D439F7">
      <w:pPr>
        <w:suppressAutoHyphens/>
        <w:overflowPunct w:val="0"/>
        <w:autoSpaceDE w:val="0"/>
        <w:autoSpaceDN w:val="0"/>
        <w:adjustRightInd w:val="0"/>
        <w:spacing w:before="0" w:after="0"/>
        <w:textAlignment w:val="baseline"/>
        <w:rPr>
          <w:rFonts w:eastAsia="Times New Roman" w:cs="Arial"/>
          <w:spacing w:val="-4"/>
        </w:rPr>
      </w:pPr>
      <w:r w:rsidRPr="00F40391">
        <w:rPr>
          <w:rFonts w:eastAsia="Times New Roman" w:cs="Arial"/>
          <w:spacing w:val="-2"/>
        </w:rPr>
        <w:t xml:space="preserve">Control operations in the contaminated area(s) to minimize </w:t>
      </w:r>
      <w:r w:rsidRPr="00F40391">
        <w:rPr>
          <w:rFonts w:eastAsia="Times New Roman" w:cs="Arial"/>
          <w:spacing w:val="1"/>
        </w:rPr>
        <w:t xml:space="preserve">the </w:t>
      </w:r>
      <w:r w:rsidRPr="00F40391">
        <w:rPr>
          <w:rFonts w:eastAsia="Times New Roman" w:cs="Arial"/>
          <w:spacing w:val="-4"/>
        </w:rPr>
        <w:t>quantity of contaminated soil excavated.</w:t>
      </w:r>
    </w:p>
    <w:p w:rsidR="00F40391" w:rsidRPr="00F40391" w:rsidRDefault="00F40391" w:rsidP="00D439F7">
      <w:pPr>
        <w:suppressAutoHyphens/>
        <w:overflowPunct w:val="0"/>
        <w:autoSpaceDE w:val="0"/>
        <w:autoSpaceDN w:val="0"/>
        <w:adjustRightInd w:val="0"/>
        <w:spacing w:before="0" w:after="0"/>
        <w:textAlignment w:val="baseline"/>
        <w:rPr>
          <w:rFonts w:eastAsia="Times New Roman" w:cs="Arial"/>
          <w:spacing w:val="-4"/>
        </w:rPr>
      </w:pPr>
    </w:p>
    <w:p w:rsidR="00F40391" w:rsidRPr="00F40391" w:rsidRDefault="00F40391" w:rsidP="00D439F7">
      <w:pPr>
        <w:spacing w:before="0" w:after="0"/>
        <w:rPr>
          <w:rFonts w:eastAsia="Times New Roman" w:cs="Arial"/>
        </w:rPr>
      </w:pPr>
      <w:r w:rsidRPr="00F40391">
        <w:rPr>
          <w:rFonts w:eastAsia="Times New Roman" w:cs="Arial"/>
        </w:rPr>
        <w:t>The environmental consultant will periodically evaluate soil excavated from the contaminated area(s) to determine if the soil is contaminated and if the soil can be reused as backfill in the area from which it was excavated.  Excavated soil will be evaluated by the environmental consultant based on field screening results, visual observations, and soil analytical results from previous environmental investigations.  Assist the environmental consultant in collecting soil samples for evaluation.  The sampling frequency shall be a maximum of one sample for approximately every 15 cubic yards (truck load) excavated in the contaminated area(s).</w:t>
      </w:r>
    </w:p>
    <w:p w:rsidR="00F40391" w:rsidRPr="00F40391" w:rsidRDefault="00F40391" w:rsidP="00D439F7">
      <w:pPr>
        <w:spacing w:before="0" w:after="0"/>
        <w:rPr>
          <w:rFonts w:eastAsia="Times New Roman" w:cs="Arial"/>
        </w:rPr>
      </w:pPr>
    </w:p>
    <w:p w:rsidR="00F40391" w:rsidRPr="00F40391" w:rsidRDefault="00F40391" w:rsidP="00D439F7">
      <w:pPr>
        <w:spacing w:before="0" w:after="0"/>
        <w:rPr>
          <w:rFonts w:eastAsia="Times New Roman" w:cs="Arial"/>
        </w:rPr>
      </w:pPr>
      <w:r w:rsidRPr="00F40391">
        <w:rPr>
          <w:rFonts w:eastAsia="Times New Roman" w:cs="Arial"/>
        </w:rPr>
        <w:t>Directly load and haul lead contaminated soil exceeding the NR 720 RCL-</w:t>
      </w:r>
      <w:proofErr w:type="spellStart"/>
      <w:r w:rsidRPr="00F40391">
        <w:rPr>
          <w:rFonts w:eastAsia="Times New Roman" w:cs="Arial"/>
        </w:rPr>
        <w:t>gw</w:t>
      </w:r>
      <w:proofErr w:type="spellEnd"/>
      <w:r w:rsidRPr="00F40391">
        <w:rPr>
          <w:rFonts w:eastAsia="Times New Roman" w:cs="Arial"/>
        </w:rPr>
        <w:t xml:space="preserve"> for lead designated by the environmental consultant for offsite treatment/disposal </w:t>
      </w:r>
      <w:r w:rsidRPr="00F40391">
        <w:rPr>
          <w:rFonts w:eastAsia="Times New Roman" w:cs="Arial"/>
          <w:spacing w:val="-1"/>
        </w:rPr>
        <w:t>to the DNR</w:t>
      </w:r>
      <w:r w:rsidRPr="00F40391">
        <w:rPr>
          <w:rFonts w:eastAsia="Times New Roman" w:cs="Arial"/>
          <w:spacing w:val="-1"/>
        </w:rPr>
        <w:noBreakHyphen/>
      </w:r>
      <w:r w:rsidRPr="00F40391">
        <w:rPr>
          <w:rFonts w:eastAsia="Times New Roman" w:cs="Arial"/>
        </w:rPr>
        <w:t>licensed solid waste disposal facility.  If not hauled to the solid waste disposal facility during the same day on which it was excavated, temporarily stockpile the soil on an impervious surface within the project limits by covering the material with impervious plastic sheeting and anchoring the plastic sheeting in place to prevent the soil from being exposed until such time as the soil is hauled to the solid waste disposal facility.  U</w:t>
      </w:r>
      <w:r w:rsidRPr="00F40391">
        <w:rPr>
          <w:rFonts w:eastAsia="Times New Roman" w:cs="Arial"/>
          <w:spacing w:val="-1"/>
        </w:rPr>
        <w:t xml:space="preserve">se loading and hauling practices that are appropriate to prevent any spills or releases of </w:t>
      </w:r>
      <w:r w:rsidRPr="00F40391">
        <w:rPr>
          <w:rFonts w:eastAsia="Times New Roman" w:cs="Arial"/>
        </w:rPr>
        <w:t>soils or residues. Sufficiently dewater soils designated for off</w:t>
      </w:r>
      <w:r w:rsidRPr="00F40391">
        <w:rPr>
          <w:rFonts w:eastAsia="Times New Roman" w:cs="Arial"/>
        </w:rPr>
        <w:noBreakHyphen/>
        <w:t>site treatment/disposal prior to transport so as not to contain free liquids.</w:t>
      </w:r>
    </w:p>
    <w:p w:rsidR="00F40391" w:rsidRPr="00F40391" w:rsidRDefault="00F40391" w:rsidP="00D439F7">
      <w:pPr>
        <w:spacing w:before="0" w:after="0"/>
        <w:rPr>
          <w:rFonts w:eastAsia="Times New Roman" w:cs="Arial"/>
        </w:rPr>
      </w:pPr>
    </w:p>
    <w:p w:rsidR="00F40391" w:rsidRPr="00F40391" w:rsidRDefault="00F40391" w:rsidP="00D439F7">
      <w:pPr>
        <w:spacing w:before="0" w:after="0"/>
        <w:rPr>
          <w:rFonts w:cs="Arial"/>
          <w:b/>
        </w:rPr>
      </w:pPr>
      <w:r w:rsidRPr="00F40391">
        <w:rPr>
          <w:rFonts w:cs="Arial"/>
          <w:b/>
        </w:rPr>
        <w:t>D  Measurement</w:t>
      </w:r>
    </w:p>
    <w:p w:rsidR="00F40391" w:rsidRPr="00F40391" w:rsidRDefault="00F40391" w:rsidP="00D439F7">
      <w:pPr>
        <w:spacing w:before="0" w:after="0"/>
        <w:rPr>
          <w:rFonts w:cs="Arial"/>
        </w:rPr>
      </w:pPr>
      <w:r w:rsidRPr="00F40391">
        <w:rPr>
          <w:rFonts w:cs="Arial"/>
        </w:rPr>
        <w:t>The department will measure Excavation, Hauling, and Disposal of Lead Contaminated Soil in tons of contaminated soil accepted by the solid waste disposal facility as documented by weight tickets generated by the solid waste disposal facility.</w:t>
      </w:r>
    </w:p>
    <w:p w:rsidR="00F40391" w:rsidRPr="00F40391" w:rsidRDefault="00F40391" w:rsidP="00D439F7">
      <w:pPr>
        <w:spacing w:before="0" w:after="0"/>
        <w:rPr>
          <w:rFonts w:eastAsia="Times New Roman" w:cs="Arial"/>
        </w:rPr>
      </w:pPr>
    </w:p>
    <w:p w:rsidR="00F40391" w:rsidRPr="00F40391" w:rsidRDefault="00F40391" w:rsidP="00D439F7">
      <w:pPr>
        <w:spacing w:before="0" w:after="0"/>
        <w:rPr>
          <w:rFonts w:cs="Arial"/>
        </w:rPr>
      </w:pPr>
      <w:r w:rsidRPr="00F40391">
        <w:rPr>
          <w:rFonts w:cs="Arial"/>
          <w:b/>
        </w:rPr>
        <w:t>E  Payment</w:t>
      </w:r>
    </w:p>
    <w:p w:rsidR="00F40391" w:rsidRDefault="00F40391" w:rsidP="00D439F7">
      <w:pPr>
        <w:spacing w:before="0" w:after="0"/>
        <w:rPr>
          <w:rFonts w:cs="Arial"/>
        </w:rPr>
      </w:pPr>
      <w:r w:rsidRPr="00F40391">
        <w:rPr>
          <w:rFonts w:cs="Arial"/>
        </w:rPr>
        <w:t>The department will pay for measured quantities at the contract unit price under the following bid item:</w:t>
      </w:r>
    </w:p>
    <w:p w:rsidR="00D439F7" w:rsidRPr="00F40391" w:rsidRDefault="00D439F7" w:rsidP="00D439F7">
      <w:pPr>
        <w:spacing w:before="0" w:after="0"/>
        <w:rPr>
          <w:rFonts w:cs="Arial"/>
        </w:rPr>
      </w:pPr>
    </w:p>
    <w:tbl>
      <w:tblPr>
        <w:tblW w:w="0" w:type="auto"/>
        <w:tblInd w:w="720" w:type="dxa"/>
        <w:tblLook w:val="04A0" w:firstRow="1" w:lastRow="0" w:firstColumn="1" w:lastColumn="0" w:noHBand="0" w:noVBand="1"/>
      </w:tblPr>
      <w:tblGrid>
        <w:gridCol w:w="1883"/>
        <w:gridCol w:w="5935"/>
        <w:gridCol w:w="822"/>
      </w:tblGrid>
      <w:tr w:rsidR="00F40391" w:rsidRPr="00F40391" w:rsidTr="002F58E9">
        <w:tc>
          <w:tcPr>
            <w:tcW w:w="1908" w:type="dxa"/>
          </w:tcPr>
          <w:p w:rsidR="00F40391" w:rsidRPr="00F40391" w:rsidRDefault="00F40391" w:rsidP="00D439F7">
            <w:pPr>
              <w:tabs>
                <w:tab w:val="left" w:pos="432"/>
              </w:tabs>
              <w:spacing w:before="0" w:after="0"/>
              <w:rPr>
                <w:rFonts w:cs="Arial"/>
              </w:rPr>
            </w:pPr>
            <w:r w:rsidRPr="00F40391">
              <w:rPr>
                <w:rFonts w:cs="Arial"/>
              </w:rPr>
              <w:t>ITEM NUMBER</w:t>
            </w:r>
          </w:p>
        </w:tc>
        <w:tc>
          <w:tcPr>
            <w:tcW w:w="6120" w:type="dxa"/>
          </w:tcPr>
          <w:p w:rsidR="00F40391" w:rsidRPr="00F40391" w:rsidRDefault="00F40391" w:rsidP="00D439F7">
            <w:pPr>
              <w:tabs>
                <w:tab w:val="left" w:pos="432"/>
              </w:tabs>
              <w:spacing w:before="0" w:after="0"/>
              <w:rPr>
                <w:rFonts w:cs="Arial"/>
              </w:rPr>
            </w:pPr>
            <w:r w:rsidRPr="00F40391">
              <w:rPr>
                <w:rFonts w:cs="Arial"/>
              </w:rPr>
              <w:t>DESCRIPTION</w:t>
            </w:r>
          </w:p>
        </w:tc>
        <w:tc>
          <w:tcPr>
            <w:tcW w:w="828" w:type="dxa"/>
          </w:tcPr>
          <w:p w:rsidR="00F40391" w:rsidRPr="00F40391" w:rsidRDefault="00F40391" w:rsidP="00D439F7">
            <w:pPr>
              <w:tabs>
                <w:tab w:val="left" w:pos="432"/>
              </w:tabs>
              <w:spacing w:before="0" w:after="0"/>
              <w:rPr>
                <w:rFonts w:cs="Arial"/>
              </w:rPr>
            </w:pPr>
            <w:r w:rsidRPr="00F40391">
              <w:rPr>
                <w:rFonts w:cs="Arial"/>
              </w:rPr>
              <w:t>UNIT</w:t>
            </w:r>
          </w:p>
        </w:tc>
      </w:tr>
      <w:tr w:rsidR="00F40391" w:rsidRPr="00F40391" w:rsidTr="002F58E9">
        <w:tc>
          <w:tcPr>
            <w:tcW w:w="1908" w:type="dxa"/>
          </w:tcPr>
          <w:p w:rsidR="00F40391" w:rsidRPr="00F40391" w:rsidRDefault="00F40391" w:rsidP="00D439F7">
            <w:pPr>
              <w:tabs>
                <w:tab w:val="left" w:pos="432"/>
              </w:tabs>
              <w:spacing w:before="0" w:after="0"/>
              <w:rPr>
                <w:rFonts w:cs="Arial"/>
              </w:rPr>
            </w:pPr>
            <w:r w:rsidRPr="00F40391">
              <w:rPr>
                <w:rFonts w:cs="Arial"/>
              </w:rPr>
              <w:t>SPV.195.01</w:t>
            </w:r>
          </w:p>
        </w:tc>
        <w:tc>
          <w:tcPr>
            <w:tcW w:w="6120" w:type="dxa"/>
          </w:tcPr>
          <w:p w:rsidR="00F40391" w:rsidRPr="00F40391" w:rsidRDefault="00F40391" w:rsidP="00D439F7">
            <w:pPr>
              <w:tabs>
                <w:tab w:val="left" w:pos="432"/>
              </w:tabs>
              <w:spacing w:before="0" w:after="0"/>
              <w:rPr>
                <w:rFonts w:cs="Arial"/>
              </w:rPr>
            </w:pPr>
            <w:r w:rsidRPr="00F40391">
              <w:rPr>
                <w:rFonts w:cs="Arial"/>
              </w:rPr>
              <w:t>Excavation, Hauling, and Disposal of Lead Contaminated Soil</w:t>
            </w:r>
          </w:p>
        </w:tc>
        <w:tc>
          <w:tcPr>
            <w:tcW w:w="828" w:type="dxa"/>
          </w:tcPr>
          <w:p w:rsidR="00F40391" w:rsidRPr="00F40391" w:rsidRDefault="00F40391" w:rsidP="00D439F7">
            <w:pPr>
              <w:tabs>
                <w:tab w:val="left" w:pos="432"/>
              </w:tabs>
              <w:spacing w:before="0" w:after="0"/>
              <w:rPr>
                <w:rFonts w:cs="Arial"/>
              </w:rPr>
            </w:pPr>
            <w:r w:rsidRPr="00F40391">
              <w:rPr>
                <w:rFonts w:cs="Arial"/>
              </w:rPr>
              <w:t>Ton</w:t>
            </w:r>
          </w:p>
        </w:tc>
      </w:tr>
    </w:tbl>
    <w:p w:rsidR="00F40391" w:rsidRPr="00F40391" w:rsidRDefault="00F40391" w:rsidP="00D439F7">
      <w:pPr>
        <w:spacing w:before="0" w:after="0"/>
        <w:rPr>
          <w:rFonts w:cs="Arial"/>
        </w:rPr>
      </w:pPr>
    </w:p>
    <w:p w:rsidR="00F52055" w:rsidRPr="002F58E9" w:rsidRDefault="00F40391" w:rsidP="00D439F7">
      <w:pPr>
        <w:spacing w:before="0" w:after="0"/>
        <w:rPr>
          <w:rFonts w:eastAsia="Times New Roman" w:cs="Arial"/>
        </w:rPr>
      </w:pPr>
      <w:r w:rsidRPr="002F58E9">
        <w:rPr>
          <w:rFonts w:eastAsia="Times New Roman" w:cs="Arial"/>
        </w:rPr>
        <w:t>Payment is full compensation for excavating, loading, hauling, treating, and all tipping fees paid for off-site treatment/disposal of the contaminated soils; temporary stockpiling of contaminated soil; covering, anchoring, and maintenance of the temporary stockpile; obtaining solid waste collection and transportation service operating licenses; dewatering of soils prior to transport; and for furnishing all labor, tools, equipment, and incidentals necessary to complete the work.</w:t>
      </w:r>
    </w:p>
    <w:sectPr w:rsidR="00F52055" w:rsidRPr="002F58E9"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8F" w:rsidRDefault="0049548F">
      <w:r>
        <w:separator/>
      </w:r>
    </w:p>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endnote>
  <w:endnote w:type="continuationSeparator" w:id="0">
    <w:p w:rsidR="0049548F" w:rsidRDefault="0049548F">
      <w:r>
        <w:continuationSeparator/>
      </w:r>
    </w:p>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endnote>
  <w:endnote w:type="continuationNotice" w:id="1">
    <w:p w:rsidR="0049548F" w:rsidRDefault="0049548F"/>
    <w:p w:rsidR="0049548F" w:rsidRDefault="00495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48F" w:rsidRDefault="0049548F" w:rsidP="00C75171">
    <w:pPr>
      <w:pStyle w:val="Footer"/>
      <w:tabs>
        <w:tab w:val="clear" w:pos="4680"/>
      </w:tabs>
    </w:pPr>
    <w:sdt>
      <w:sdtPr>
        <w:id w:val="-1350939626"/>
        <w:placeholder>
          <w:docPart w:val="CF6F8207921C40AF819CFCCFA8551B75"/>
        </w:placeholder>
      </w:sdtPr>
      <w:sdtContent>
        <w:r>
          <w:t>6270-00-74</w:t>
        </w:r>
      </w:sdtContent>
    </w:sdt>
    <w:r>
      <w:tab/>
    </w:r>
    <w:sdt>
      <w:sdtPr>
        <w:id w:val="863408887"/>
        <w:docPartObj>
          <w:docPartGallery w:val="Page Numbers (Top of Page)"/>
          <w:docPartUnique/>
        </w:docPartObj>
      </w:sdtPr>
      <w:sdtContent>
        <w:r>
          <w:fldChar w:fldCharType="begin"/>
        </w:r>
        <w:r>
          <w:instrText xml:space="preserve"> PAGE </w:instrText>
        </w:r>
        <w:r>
          <w:fldChar w:fldCharType="separate"/>
        </w:r>
        <w:r>
          <w:rPr>
            <w:noProof/>
          </w:rPr>
          <w:t>1</w:t>
        </w:r>
        <w:r>
          <w:rPr>
            <w:noProof/>
          </w:rPr>
          <w:fldChar w:fldCharType="end"/>
        </w:r>
        <w:r>
          <w:t xml:space="preserve"> of </w:t>
        </w:r>
        <w:r>
          <w:fldChar w:fldCharType="begin"/>
        </w:r>
        <w:r>
          <w:instrText xml:space="preserve"> NUMPAGES  </w:instrText>
        </w:r>
        <w:r>
          <w:fldChar w:fldCharType="separate"/>
        </w:r>
        <w:r>
          <w:rPr>
            <w:noProof/>
          </w:rPr>
          <w:t>16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8F" w:rsidRDefault="0049548F">
      <w:r>
        <w:separator/>
      </w:r>
    </w:p>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footnote>
  <w:footnote w:type="continuationSeparator" w:id="0">
    <w:p w:rsidR="0049548F" w:rsidRDefault="0049548F">
      <w:r>
        <w:continuationSeparator/>
      </w:r>
    </w:p>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p w:rsidR="0049548F" w:rsidRDefault="0049548F"/>
  </w:footnote>
  <w:footnote w:type="continuationNotice" w:id="1">
    <w:p w:rsidR="0049548F" w:rsidRDefault="0049548F"/>
    <w:p w:rsidR="0049548F" w:rsidRDefault="004954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6C87DBC"/>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E6D0588A"/>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E648D858"/>
    <w:lvl w:ilvl="0">
      <w:start w:val="1"/>
      <w:numFmt w:val="decimal"/>
      <w:pStyle w:val="ListNumber"/>
      <w:lvlText w:val="%1."/>
      <w:lvlJc w:val="left"/>
      <w:pPr>
        <w:tabs>
          <w:tab w:val="num" w:pos="360"/>
        </w:tabs>
        <w:ind w:left="360" w:hanging="360"/>
      </w:pPr>
    </w:lvl>
  </w:abstractNum>
  <w:abstractNum w:abstractNumId="3" w15:restartNumberingAfterBreak="0">
    <w:nsid w:val="2ADE4E5C"/>
    <w:multiLevelType w:val="hybridMultilevel"/>
    <w:tmpl w:val="4BCEACDA"/>
    <w:lvl w:ilvl="0" w:tplc="CB1C7D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0F61B4"/>
    <w:multiLevelType w:val="hybridMultilevel"/>
    <w:tmpl w:val="BB96E03A"/>
    <w:lvl w:ilvl="0" w:tplc="97089968">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D21630"/>
    <w:multiLevelType w:val="hybridMultilevel"/>
    <w:tmpl w:val="E828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66B5E"/>
    <w:multiLevelType w:val="hybridMultilevel"/>
    <w:tmpl w:val="9FB68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F01F0"/>
    <w:multiLevelType w:val="hybridMultilevel"/>
    <w:tmpl w:val="FA80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 w15:restartNumberingAfterBreak="0">
    <w:nsid w:val="562C1290"/>
    <w:multiLevelType w:val="hybridMultilevel"/>
    <w:tmpl w:val="451A7436"/>
    <w:lvl w:ilvl="0" w:tplc="DFCE9A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E420C0"/>
    <w:multiLevelType w:val="hybridMultilevel"/>
    <w:tmpl w:val="BB96E03A"/>
    <w:lvl w:ilvl="0" w:tplc="97089968">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945ED8"/>
    <w:multiLevelType w:val="hybridMultilevel"/>
    <w:tmpl w:val="BB96E03A"/>
    <w:lvl w:ilvl="0" w:tplc="97089968">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num>
  <w:num w:numId="3">
    <w:abstractNumId w:val="8"/>
  </w:num>
  <w:num w:numId="4">
    <w:abstractNumId w:val="3"/>
  </w:num>
  <w:num w:numId="5">
    <w:abstractNumId w:val="11"/>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1"/>
  </w:num>
  <w:num w:numId="12">
    <w:abstractNumId w:val="0"/>
  </w:num>
  <w:num w:numId="13">
    <w:abstractNumId w:val="4"/>
  </w:num>
  <w:num w:numId="14">
    <w:abstractNumId w:val="5"/>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21"/>
    <w:rsid w:val="00002A93"/>
    <w:rsid w:val="00002E61"/>
    <w:rsid w:val="000037EB"/>
    <w:rsid w:val="00011479"/>
    <w:rsid w:val="00011A38"/>
    <w:rsid w:val="0001243B"/>
    <w:rsid w:val="00012CEE"/>
    <w:rsid w:val="000138C0"/>
    <w:rsid w:val="00014FC5"/>
    <w:rsid w:val="00015CAF"/>
    <w:rsid w:val="00021DBF"/>
    <w:rsid w:val="00022851"/>
    <w:rsid w:val="000236A1"/>
    <w:rsid w:val="00025F98"/>
    <w:rsid w:val="000278B0"/>
    <w:rsid w:val="00030E0D"/>
    <w:rsid w:val="0003239F"/>
    <w:rsid w:val="00034B1B"/>
    <w:rsid w:val="00044827"/>
    <w:rsid w:val="000458A6"/>
    <w:rsid w:val="00046EA4"/>
    <w:rsid w:val="00053062"/>
    <w:rsid w:val="00053AD8"/>
    <w:rsid w:val="00053D1C"/>
    <w:rsid w:val="0006185D"/>
    <w:rsid w:val="0006236D"/>
    <w:rsid w:val="0006267D"/>
    <w:rsid w:val="00062AB2"/>
    <w:rsid w:val="00063A78"/>
    <w:rsid w:val="00066DCE"/>
    <w:rsid w:val="00067275"/>
    <w:rsid w:val="000717FC"/>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0E3C85"/>
    <w:rsid w:val="000F07C3"/>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0EA7"/>
    <w:rsid w:val="00151BC1"/>
    <w:rsid w:val="00157F82"/>
    <w:rsid w:val="00162B86"/>
    <w:rsid w:val="00174665"/>
    <w:rsid w:val="00186A0E"/>
    <w:rsid w:val="00192164"/>
    <w:rsid w:val="001A572E"/>
    <w:rsid w:val="001A6E10"/>
    <w:rsid w:val="001A76A9"/>
    <w:rsid w:val="001B0285"/>
    <w:rsid w:val="001B0816"/>
    <w:rsid w:val="001B0FF5"/>
    <w:rsid w:val="001B20FA"/>
    <w:rsid w:val="001B49B0"/>
    <w:rsid w:val="001B59AC"/>
    <w:rsid w:val="001B5A2E"/>
    <w:rsid w:val="001B79E4"/>
    <w:rsid w:val="001C4CCC"/>
    <w:rsid w:val="001C576D"/>
    <w:rsid w:val="001C6E1A"/>
    <w:rsid w:val="001C739C"/>
    <w:rsid w:val="001D16BE"/>
    <w:rsid w:val="001D1772"/>
    <w:rsid w:val="001E3034"/>
    <w:rsid w:val="001E786E"/>
    <w:rsid w:val="001E7C66"/>
    <w:rsid w:val="001F1599"/>
    <w:rsid w:val="0020101D"/>
    <w:rsid w:val="002050FE"/>
    <w:rsid w:val="00205814"/>
    <w:rsid w:val="002125F9"/>
    <w:rsid w:val="00212D36"/>
    <w:rsid w:val="00215AC1"/>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3538"/>
    <w:rsid w:val="00275B6C"/>
    <w:rsid w:val="002761B5"/>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44A1"/>
    <w:rsid w:val="002D55FE"/>
    <w:rsid w:val="002D61F0"/>
    <w:rsid w:val="002E2855"/>
    <w:rsid w:val="002F116F"/>
    <w:rsid w:val="002F1881"/>
    <w:rsid w:val="002F514C"/>
    <w:rsid w:val="002F58E9"/>
    <w:rsid w:val="002F59DD"/>
    <w:rsid w:val="002F758F"/>
    <w:rsid w:val="002F7F32"/>
    <w:rsid w:val="00300A79"/>
    <w:rsid w:val="00305CFD"/>
    <w:rsid w:val="00312603"/>
    <w:rsid w:val="00314F91"/>
    <w:rsid w:val="003153F7"/>
    <w:rsid w:val="00316E79"/>
    <w:rsid w:val="0032097E"/>
    <w:rsid w:val="00323052"/>
    <w:rsid w:val="003301F3"/>
    <w:rsid w:val="00333AD1"/>
    <w:rsid w:val="00335842"/>
    <w:rsid w:val="00335D85"/>
    <w:rsid w:val="00340346"/>
    <w:rsid w:val="00345D0F"/>
    <w:rsid w:val="0035009B"/>
    <w:rsid w:val="003543EA"/>
    <w:rsid w:val="00354504"/>
    <w:rsid w:val="00355C6E"/>
    <w:rsid w:val="00355E25"/>
    <w:rsid w:val="0035681E"/>
    <w:rsid w:val="0035777C"/>
    <w:rsid w:val="00357B06"/>
    <w:rsid w:val="00367712"/>
    <w:rsid w:val="003677A3"/>
    <w:rsid w:val="00370B3F"/>
    <w:rsid w:val="00374705"/>
    <w:rsid w:val="00377378"/>
    <w:rsid w:val="0038087B"/>
    <w:rsid w:val="003841BC"/>
    <w:rsid w:val="003851E6"/>
    <w:rsid w:val="00385427"/>
    <w:rsid w:val="0039322B"/>
    <w:rsid w:val="00396A7A"/>
    <w:rsid w:val="00396A8D"/>
    <w:rsid w:val="00397A88"/>
    <w:rsid w:val="003A37E8"/>
    <w:rsid w:val="003A37EF"/>
    <w:rsid w:val="003A3C00"/>
    <w:rsid w:val="003A444B"/>
    <w:rsid w:val="003A5CD0"/>
    <w:rsid w:val="003B065A"/>
    <w:rsid w:val="003B4868"/>
    <w:rsid w:val="003C4724"/>
    <w:rsid w:val="003C5754"/>
    <w:rsid w:val="003D1F52"/>
    <w:rsid w:val="003D3B59"/>
    <w:rsid w:val="003D7523"/>
    <w:rsid w:val="003E0862"/>
    <w:rsid w:val="003E24AE"/>
    <w:rsid w:val="003E3C01"/>
    <w:rsid w:val="003E665E"/>
    <w:rsid w:val="003F23A0"/>
    <w:rsid w:val="003F524B"/>
    <w:rsid w:val="00400E9D"/>
    <w:rsid w:val="0040354B"/>
    <w:rsid w:val="00403A9B"/>
    <w:rsid w:val="0041338A"/>
    <w:rsid w:val="004166A9"/>
    <w:rsid w:val="00426E0A"/>
    <w:rsid w:val="004329CC"/>
    <w:rsid w:val="00434920"/>
    <w:rsid w:val="0044180E"/>
    <w:rsid w:val="00447AED"/>
    <w:rsid w:val="00452878"/>
    <w:rsid w:val="00461982"/>
    <w:rsid w:val="00464564"/>
    <w:rsid w:val="00466B63"/>
    <w:rsid w:val="00466D84"/>
    <w:rsid w:val="004723BE"/>
    <w:rsid w:val="0047273E"/>
    <w:rsid w:val="004765F9"/>
    <w:rsid w:val="00477CD1"/>
    <w:rsid w:val="00477D62"/>
    <w:rsid w:val="00482102"/>
    <w:rsid w:val="00487E85"/>
    <w:rsid w:val="00491BAC"/>
    <w:rsid w:val="00493163"/>
    <w:rsid w:val="00493D46"/>
    <w:rsid w:val="0049548F"/>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6BFC"/>
    <w:rsid w:val="004C73B4"/>
    <w:rsid w:val="004D12AF"/>
    <w:rsid w:val="004D378F"/>
    <w:rsid w:val="004D53EC"/>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06601"/>
    <w:rsid w:val="00513E13"/>
    <w:rsid w:val="005170B9"/>
    <w:rsid w:val="00521054"/>
    <w:rsid w:val="00525EFC"/>
    <w:rsid w:val="00527E92"/>
    <w:rsid w:val="00537E51"/>
    <w:rsid w:val="00542140"/>
    <w:rsid w:val="005446E0"/>
    <w:rsid w:val="00546295"/>
    <w:rsid w:val="00546AD5"/>
    <w:rsid w:val="00546FB9"/>
    <w:rsid w:val="00554081"/>
    <w:rsid w:val="00555A70"/>
    <w:rsid w:val="005613B9"/>
    <w:rsid w:val="00562C78"/>
    <w:rsid w:val="005669B8"/>
    <w:rsid w:val="00567B40"/>
    <w:rsid w:val="00572DE8"/>
    <w:rsid w:val="00572F9A"/>
    <w:rsid w:val="005810E3"/>
    <w:rsid w:val="005811F8"/>
    <w:rsid w:val="00582C58"/>
    <w:rsid w:val="00584CB5"/>
    <w:rsid w:val="00587136"/>
    <w:rsid w:val="005937EC"/>
    <w:rsid w:val="00593FB8"/>
    <w:rsid w:val="005955FE"/>
    <w:rsid w:val="0059627D"/>
    <w:rsid w:val="0059732A"/>
    <w:rsid w:val="005A6128"/>
    <w:rsid w:val="005B0B8B"/>
    <w:rsid w:val="005B3261"/>
    <w:rsid w:val="005B3656"/>
    <w:rsid w:val="005C0491"/>
    <w:rsid w:val="005C3B38"/>
    <w:rsid w:val="005C52CA"/>
    <w:rsid w:val="005D0ED0"/>
    <w:rsid w:val="005D1F23"/>
    <w:rsid w:val="005E6F2C"/>
    <w:rsid w:val="005E7933"/>
    <w:rsid w:val="005F304B"/>
    <w:rsid w:val="005F52FC"/>
    <w:rsid w:val="005F78B5"/>
    <w:rsid w:val="005F7A24"/>
    <w:rsid w:val="00602515"/>
    <w:rsid w:val="00604E74"/>
    <w:rsid w:val="00610890"/>
    <w:rsid w:val="006177B3"/>
    <w:rsid w:val="00620206"/>
    <w:rsid w:val="0062046A"/>
    <w:rsid w:val="00625E8F"/>
    <w:rsid w:val="00627AB0"/>
    <w:rsid w:val="0063287E"/>
    <w:rsid w:val="006336E0"/>
    <w:rsid w:val="00640EFE"/>
    <w:rsid w:val="0064764C"/>
    <w:rsid w:val="006502CD"/>
    <w:rsid w:val="00652620"/>
    <w:rsid w:val="00656CEA"/>
    <w:rsid w:val="0067177A"/>
    <w:rsid w:val="006722BF"/>
    <w:rsid w:val="00675098"/>
    <w:rsid w:val="00675481"/>
    <w:rsid w:val="0067562E"/>
    <w:rsid w:val="00681BD9"/>
    <w:rsid w:val="00682089"/>
    <w:rsid w:val="006855F8"/>
    <w:rsid w:val="006860B1"/>
    <w:rsid w:val="00686CBC"/>
    <w:rsid w:val="00692195"/>
    <w:rsid w:val="006922C3"/>
    <w:rsid w:val="006A043A"/>
    <w:rsid w:val="006A0ADC"/>
    <w:rsid w:val="006A10D8"/>
    <w:rsid w:val="006A1386"/>
    <w:rsid w:val="006B384C"/>
    <w:rsid w:val="006B3B29"/>
    <w:rsid w:val="006B487A"/>
    <w:rsid w:val="006C0EBB"/>
    <w:rsid w:val="006C1DF8"/>
    <w:rsid w:val="006C69A3"/>
    <w:rsid w:val="006C6D4E"/>
    <w:rsid w:val="006C6DDD"/>
    <w:rsid w:val="006C7600"/>
    <w:rsid w:val="006C7E23"/>
    <w:rsid w:val="006D3530"/>
    <w:rsid w:val="006D51BA"/>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4ECC"/>
    <w:rsid w:val="0075740B"/>
    <w:rsid w:val="00760766"/>
    <w:rsid w:val="00760C86"/>
    <w:rsid w:val="00762B54"/>
    <w:rsid w:val="007664C4"/>
    <w:rsid w:val="007709EA"/>
    <w:rsid w:val="0077587F"/>
    <w:rsid w:val="00775DCE"/>
    <w:rsid w:val="00785CBD"/>
    <w:rsid w:val="00792DCB"/>
    <w:rsid w:val="00793DA5"/>
    <w:rsid w:val="00793DF2"/>
    <w:rsid w:val="0079592F"/>
    <w:rsid w:val="007A0FD0"/>
    <w:rsid w:val="007A1B69"/>
    <w:rsid w:val="007A21CD"/>
    <w:rsid w:val="007A7E6E"/>
    <w:rsid w:val="007B292B"/>
    <w:rsid w:val="007B29E7"/>
    <w:rsid w:val="007B5D49"/>
    <w:rsid w:val="007B644A"/>
    <w:rsid w:val="007C08A7"/>
    <w:rsid w:val="007C2FB1"/>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15E5"/>
    <w:rsid w:val="008A4E2F"/>
    <w:rsid w:val="008B0B7F"/>
    <w:rsid w:val="008B29E2"/>
    <w:rsid w:val="008C0AC8"/>
    <w:rsid w:val="008C3886"/>
    <w:rsid w:val="008C4546"/>
    <w:rsid w:val="008C6239"/>
    <w:rsid w:val="008D1290"/>
    <w:rsid w:val="008D1850"/>
    <w:rsid w:val="008D272C"/>
    <w:rsid w:val="008D32E3"/>
    <w:rsid w:val="008D6359"/>
    <w:rsid w:val="008E2DE3"/>
    <w:rsid w:val="008F2151"/>
    <w:rsid w:val="008F6DA4"/>
    <w:rsid w:val="00901C1B"/>
    <w:rsid w:val="00902A21"/>
    <w:rsid w:val="00907CC5"/>
    <w:rsid w:val="00912C09"/>
    <w:rsid w:val="009148F2"/>
    <w:rsid w:val="00915E51"/>
    <w:rsid w:val="0091635D"/>
    <w:rsid w:val="00920C5D"/>
    <w:rsid w:val="0092342B"/>
    <w:rsid w:val="00923EC7"/>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D66E5"/>
    <w:rsid w:val="009E1B0F"/>
    <w:rsid w:val="009E2AB8"/>
    <w:rsid w:val="009E2CE4"/>
    <w:rsid w:val="009F08B6"/>
    <w:rsid w:val="009F1DF6"/>
    <w:rsid w:val="009F39F5"/>
    <w:rsid w:val="009F58B7"/>
    <w:rsid w:val="009F6070"/>
    <w:rsid w:val="00A05F9F"/>
    <w:rsid w:val="00A06D2A"/>
    <w:rsid w:val="00A10B0F"/>
    <w:rsid w:val="00A1392A"/>
    <w:rsid w:val="00A14A21"/>
    <w:rsid w:val="00A14AFB"/>
    <w:rsid w:val="00A21426"/>
    <w:rsid w:val="00A23220"/>
    <w:rsid w:val="00A37D1C"/>
    <w:rsid w:val="00A37EAE"/>
    <w:rsid w:val="00A41BC7"/>
    <w:rsid w:val="00A425FA"/>
    <w:rsid w:val="00A45CFA"/>
    <w:rsid w:val="00A509E1"/>
    <w:rsid w:val="00A546E4"/>
    <w:rsid w:val="00A555F9"/>
    <w:rsid w:val="00A57FBE"/>
    <w:rsid w:val="00A6170F"/>
    <w:rsid w:val="00A73DA2"/>
    <w:rsid w:val="00A85603"/>
    <w:rsid w:val="00A8756E"/>
    <w:rsid w:val="00A90C90"/>
    <w:rsid w:val="00A9384A"/>
    <w:rsid w:val="00AA0563"/>
    <w:rsid w:val="00AA36D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5541"/>
    <w:rsid w:val="00B1708E"/>
    <w:rsid w:val="00B2278A"/>
    <w:rsid w:val="00B239C8"/>
    <w:rsid w:val="00B23A47"/>
    <w:rsid w:val="00B24D7E"/>
    <w:rsid w:val="00B260AA"/>
    <w:rsid w:val="00B267BF"/>
    <w:rsid w:val="00B27DAC"/>
    <w:rsid w:val="00B32BC7"/>
    <w:rsid w:val="00B351FE"/>
    <w:rsid w:val="00B3581A"/>
    <w:rsid w:val="00B36BB1"/>
    <w:rsid w:val="00B37BE3"/>
    <w:rsid w:val="00B43EFE"/>
    <w:rsid w:val="00B46612"/>
    <w:rsid w:val="00B47345"/>
    <w:rsid w:val="00B52B02"/>
    <w:rsid w:val="00B54C35"/>
    <w:rsid w:val="00B54D57"/>
    <w:rsid w:val="00B625AB"/>
    <w:rsid w:val="00B62680"/>
    <w:rsid w:val="00B66B5B"/>
    <w:rsid w:val="00B7291F"/>
    <w:rsid w:val="00B75F3F"/>
    <w:rsid w:val="00B76118"/>
    <w:rsid w:val="00B8796D"/>
    <w:rsid w:val="00B9254C"/>
    <w:rsid w:val="00B92BB9"/>
    <w:rsid w:val="00B94868"/>
    <w:rsid w:val="00B95A69"/>
    <w:rsid w:val="00B97DBF"/>
    <w:rsid w:val="00BA162C"/>
    <w:rsid w:val="00BA19B8"/>
    <w:rsid w:val="00BB2F2F"/>
    <w:rsid w:val="00BB478F"/>
    <w:rsid w:val="00BC2002"/>
    <w:rsid w:val="00BC2655"/>
    <w:rsid w:val="00BC4FC3"/>
    <w:rsid w:val="00BC55C1"/>
    <w:rsid w:val="00BC6822"/>
    <w:rsid w:val="00BC6EA4"/>
    <w:rsid w:val="00BC713A"/>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2816"/>
    <w:rsid w:val="00C25FE9"/>
    <w:rsid w:val="00C277AF"/>
    <w:rsid w:val="00C30098"/>
    <w:rsid w:val="00C363AD"/>
    <w:rsid w:val="00C3784B"/>
    <w:rsid w:val="00C4101F"/>
    <w:rsid w:val="00C41B28"/>
    <w:rsid w:val="00C41D41"/>
    <w:rsid w:val="00C522AB"/>
    <w:rsid w:val="00C60E38"/>
    <w:rsid w:val="00C61F70"/>
    <w:rsid w:val="00C65E7B"/>
    <w:rsid w:val="00C74B5A"/>
    <w:rsid w:val="00C75171"/>
    <w:rsid w:val="00C77FB0"/>
    <w:rsid w:val="00C83A80"/>
    <w:rsid w:val="00C86C23"/>
    <w:rsid w:val="00C904CC"/>
    <w:rsid w:val="00C90CAF"/>
    <w:rsid w:val="00C95192"/>
    <w:rsid w:val="00C95778"/>
    <w:rsid w:val="00CA390C"/>
    <w:rsid w:val="00CA5039"/>
    <w:rsid w:val="00CA60B2"/>
    <w:rsid w:val="00CA6E28"/>
    <w:rsid w:val="00CA76D6"/>
    <w:rsid w:val="00CA7DD2"/>
    <w:rsid w:val="00CB044D"/>
    <w:rsid w:val="00CB2820"/>
    <w:rsid w:val="00CB3813"/>
    <w:rsid w:val="00CB6085"/>
    <w:rsid w:val="00CB642D"/>
    <w:rsid w:val="00CC13AD"/>
    <w:rsid w:val="00CC1F4D"/>
    <w:rsid w:val="00CC2373"/>
    <w:rsid w:val="00CD17F4"/>
    <w:rsid w:val="00CD4849"/>
    <w:rsid w:val="00CD5AD9"/>
    <w:rsid w:val="00CE55DE"/>
    <w:rsid w:val="00CF0DAB"/>
    <w:rsid w:val="00CF11A4"/>
    <w:rsid w:val="00CF561D"/>
    <w:rsid w:val="00CF5A0F"/>
    <w:rsid w:val="00CF6DB0"/>
    <w:rsid w:val="00CF7853"/>
    <w:rsid w:val="00D01FB8"/>
    <w:rsid w:val="00D05E3A"/>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39F7"/>
    <w:rsid w:val="00D4445E"/>
    <w:rsid w:val="00D5011A"/>
    <w:rsid w:val="00D5593B"/>
    <w:rsid w:val="00D57F2F"/>
    <w:rsid w:val="00D626A3"/>
    <w:rsid w:val="00D626ED"/>
    <w:rsid w:val="00D62FEB"/>
    <w:rsid w:val="00D63500"/>
    <w:rsid w:val="00D73A4A"/>
    <w:rsid w:val="00D7413C"/>
    <w:rsid w:val="00D7533B"/>
    <w:rsid w:val="00D75D9B"/>
    <w:rsid w:val="00D8227F"/>
    <w:rsid w:val="00D83FF1"/>
    <w:rsid w:val="00D877A7"/>
    <w:rsid w:val="00D87836"/>
    <w:rsid w:val="00DA0E76"/>
    <w:rsid w:val="00DA1EF3"/>
    <w:rsid w:val="00DA489F"/>
    <w:rsid w:val="00DA67EE"/>
    <w:rsid w:val="00DA6944"/>
    <w:rsid w:val="00DA7961"/>
    <w:rsid w:val="00DA7CC4"/>
    <w:rsid w:val="00DB48F2"/>
    <w:rsid w:val="00DB4C2E"/>
    <w:rsid w:val="00DB605A"/>
    <w:rsid w:val="00DC37ED"/>
    <w:rsid w:val="00DD11C4"/>
    <w:rsid w:val="00DD182D"/>
    <w:rsid w:val="00DD4419"/>
    <w:rsid w:val="00DD4F4E"/>
    <w:rsid w:val="00DE0F18"/>
    <w:rsid w:val="00DE6363"/>
    <w:rsid w:val="00DF0B69"/>
    <w:rsid w:val="00DF0DD9"/>
    <w:rsid w:val="00DF1E41"/>
    <w:rsid w:val="00DF2D4E"/>
    <w:rsid w:val="00DF3F0B"/>
    <w:rsid w:val="00DF4D61"/>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B7C"/>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0391"/>
    <w:rsid w:val="00F427DB"/>
    <w:rsid w:val="00F459EC"/>
    <w:rsid w:val="00F47013"/>
    <w:rsid w:val="00F52055"/>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4DEC"/>
    <w:rsid w:val="00FD5529"/>
    <w:rsid w:val="00FD57F8"/>
    <w:rsid w:val="00FD72CE"/>
    <w:rsid w:val="00FE54E2"/>
    <w:rsid w:val="00FE5DE5"/>
    <w:rsid w:val="00FF048F"/>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440B28"/>
  <w15:docId w15:val="{BF7DE0D4-ED1D-4372-8046-56B846DB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qFormat/>
    <w:rsid w:val="00EA080F"/>
    <w:pPr>
      <w:spacing w:before="24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3"/>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1"/>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1"/>
    <w:qFormat/>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table" w:customStyle="1" w:styleId="TableGrid10">
    <w:name w:val="Table Grid1"/>
    <w:basedOn w:val="TableNormal"/>
    <w:next w:val="TableGrid"/>
    <w:uiPriority w:val="59"/>
    <w:rsid w:val="00F52055"/>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1D9AE0EDD0D4BAB997406ED3F06795E">
    <w:name w:val="A1D9AE0EDD0D4BAB997406ED3F06795E"/>
    <w:rsid w:val="00F52055"/>
    <w:pPr>
      <w:spacing w:before="0" w:after="0"/>
      <w:ind w:left="720"/>
      <w:jc w:val="both"/>
    </w:pPr>
    <w:rPr>
      <w:rFonts w:ascii="Times New Roman" w:hAnsi="Times New Roman" w:cs="Times New Roman"/>
      <w:sz w:val="24"/>
      <w:szCs w:val="24"/>
    </w:rPr>
  </w:style>
  <w:style w:type="paragraph" w:styleId="ListNumber">
    <w:name w:val="List Number"/>
    <w:basedOn w:val="Normal"/>
    <w:uiPriority w:val="99"/>
    <w:semiHidden/>
    <w:rsid w:val="003E0862"/>
    <w:pPr>
      <w:numPr>
        <w:numId w:val="10"/>
      </w:numPr>
      <w:contextualSpacing/>
    </w:pPr>
  </w:style>
  <w:style w:type="paragraph" w:styleId="ListNumber2">
    <w:name w:val="List Number 2"/>
    <w:basedOn w:val="Normal"/>
    <w:uiPriority w:val="99"/>
    <w:semiHidden/>
    <w:rsid w:val="003E0862"/>
    <w:pPr>
      <w:numPr>
        <w:numId w:val="11"/>
      </w:numPr>
      <w:contextualSpacing/>
    </w:pPr>
  </w:style>
  <w:style w:type="paragraph" w:styleId="ListNumber3">
    <w:name w:val="List Number 3"/>
    <w:basedOn w:val="Normal"/>
    <w:uiPriority w:val="99"/>
    <w:semiHidden/>
    <w:rsid w:val="003E0862"/>
    <w:pPr>
      <w:numPr>
        <w:numId w:val="12"/>
      </w:numPr>
      <w:contextualSpacing/>
    </w:pPr>
  </w:style>
  <w:style w:type="table" w:customStyle="1" w:styleId="TableGrid2">
    <w:name w:val="Table Grid2"/>
    <w:basedOn w:val="TableNormal"/>
    <w:next w:val="TableGrid"/>
    <w:uiPriority w:val="39"/>
    <w:rsid w:val="00F40391"/>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259261398">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477889851">
      <w:bodyDiv w:val="1"/>
      <w:marLeft w:val="0"/>
      <w:marRight w:val="0"/>
      <w:marTop w:val="0"/>
      <w:marBottom w:val="0"/>
      <w:divBdr>
        <w:top w:val="none" w:sz="0" w:space="0" w:color="auto"/>
        <w:left w:val="none" w:sz="0" w:space="0" w:color="auto"/>
        <w:bottom w:val="none" w:sz="0" w:space="0" w:color="auto"/>
        <w:right w:val="none" w:sz="0" w:space="0" w:color="auto"/>
      </w:divBdr>
    </w:div>
    <w:div w:id="491288518">
      <w:bodyDiv w:val="1"/>
      <w:marLeft w:val="0"/>
      <w:marRight w:val="0"/>
      <w:marTop w:val="0"/>
      <w:marBottom w:val="0"/>
      <w:divBdr>
        <w:top w:val="none" w:sz="0" w:space="0" w:color="auto"/>
        <w:left w:val="none" w:sz="0" w:space="0" w:color="auto"/>
        <w:bottom w:val="none" w:sz="0" w:space="0" w:color="auto"/>
        <w:right w:val="none" w:sz="0" w:space="0" w:color="auto"/>
      </w:divBdr>
    </w:div>
    <w:div w:id="520238109">
      <w:bodyDiv w:val="1"/>
      <w:marLeft w:val="0"/>
      <w:marRight w:val="0"/>
      <w:marTop w:val="0"/>
      <w:marBottom w:val="0"/>
      <w:divBdr>
        <w:top w:val="none" w:sz="0" w:space="0" w:color="auto"/>
        <w:left w:val="none" w:sz="0" w:space="0" w:color="auto"/>
        <w:bottom w:val="none" w:sz="0" w:space="0" w:color="auto"/>
        <w:right w:val="none" w:sz="0" w:space="0" w:color="auto"/>
      </w:divBdr>
    </w:div>
    <w:div w:id="524175307">
      <w:bodyDiv w:val="1"/>
      <w:marLeft w:val="0"/>
      <w:marRight w:val="0"/>
      <w:marTop w:val="0"/>
      <w:marBottom w:val="0"/>
      <w:divBdr>
        <w:top w:val="none" w:sz="0" w:space="0" w:color="auto"/>
        <w:left w:val="none" w:sz="0" w:space="0" w:color="auto"/>
        <w:bottom w:val="none" w:sz="0" w:space="0" w:color="auto"/>
        <w:right w:val="none" w:sz="0" w:space="0" w:color="auto"/>
      </w:divBdr>
    </w:div>
    <w:div w:id="623803518">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59943380">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51054458">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91626037">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nr.wi.gov/topic/invasives/disinfectio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le.wagoner@ae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nr.wi.gov/topic/stormwater/standards/const_standard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6F8207921C40AF819CFCCFA8551B75"/>
        <w:category>
          <w:name w:val="General"/>
          <w:gallery w:val="placeholder"/>
        </w:category>
        <w:types>
          <w:type w:val="bbPlcHdr"/>
        </w:types>
        <w:behaviors>
          <w:behavior w:val="content"/>
        </w:behaviors>
        <w:guid w:val="{190C7A97-10AF-4B2A-B6A4-EC8C7D6CCA72}"/>
      </w:docPartPr>
      <w:docPartBody>
        <w:p w:rsidR="00993386" w:rsidRDefault="00993386">
          <w:pPr>
            <w:pStyle w:val="CF6F8207921C40AF819CFCCFA8551B7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386"/>
    <w:rsid w:val="000E2115"/>
    <w:rsid w:val="00140EB5"/>
    <w:rsid w:val="00265EB1"/>
    <w:rsid w:val="002E798B"/>
    <w:rsid w:val="005D6693"/>
    <w:rsid w:val="008F3B91"/>
    <w:rsid w:val="00905DF2"/>
    <w:rsid w:val="00993386"/>
    <w:rsid w:val="00A67A6C"/>
    <w:rsid w:val="00F2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3386"/>
    <w:rPr>
      <w:b/>
      <w:i/>
      <w:color w:val="C00000"/>
      <w:u w:val="single"/>
    </w:rPr>
  </w:style>
  <w:style w:type="paragraph" w:customStyle="1" w:styleId="CF6F8207921C40AF819CFCCFA8551B75">
    <w:name w:val="CF6F8207921C40AF819CFCCFA8551B75"/>
  </w:style>
  <w:style w:type="paragraph" w:customStyle="1" w:styleId="56A46BF5EE2D4E67A991B8761D5D72A6">
    <w:name w:val="56A46BF5EE2D4E67A991B8761D5D72A6"/>
    <w:rsid w:val="00993386"/>
  </w:style>
  <w:style w:type="paragraph" w:customStyle="1" w:styleId="2BF0FA6C658F4D3CAC8FFAE6DF1ECAD8">
    <w:name w:val="2BF0FA6C658F4D3CAC8FFAE6DF1ECAD8"/>
    <w:rsid w:val="00993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13590aa26d6e57585ce7de1d58b5c226">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078559f70512f2a2bd786b8c2707f4fa"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93E3-0C65-44F1-B910-570E4A88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sharepoint/v3"/>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95C0FF5-6EFF-40B8-9FDE-9539AC75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8234</Words>
  <Characters>46938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STSP Template</vt:lpstr>
    </vt:vector>
  </TitlesOfParts>
  <Company>AECOM</Company>
  <LinksUpToDate>false</LinksUpToDate>
  <CharactersWithSpaces>55062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Barz, Ryan</dc:creator>
  <cp:keywords>STSP, template, special provisions, building blocks</cp:keywords>
  <cp:lastModifiedBy>Barz, Ryan</cp:lastModifiedBy>
  <cp:revision>14</cp:revision>
  <cp:lastPrinted>2019-08-29T19:51:00Z</cp:lastPrinted>
  <dcterms:created xsi:type="dcterms:W3CDTF">2019-10-16T13:27:00Z</dcterms:created>
  <dcterms:modified xsi:type="dcterms:W3CDTF">2019-10-31T12:40:00Z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