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19e68eeac5a4b56"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052" w:rsidRPr="00CF11A4" w:rsidRDefault="00BE2267" w:rsidP="00CF11A4">
      <w:pPr>
        <w:jc w:val="center"/>
        <w:rPr>
          <w:rFonts w:cs="Arial"/>
          <w:b/>
          <w:sz w:val="22"/>
          <w:szCs w:val="22"/>
        </w:rPr>
      </w:pPr>
      <w:r w:rsidRPr="00CF11A4">
        <w:rPr>
          <w:rFonts w:cs="Arial"/>
          <w:b/>
          <w:sz w:val="22"/>
          <w:szCs w:val="22"/>
        </w:rPr>
        <w:t>Special Provisions</w:t>
      </w:r>
    </w:p>
    <w:p w:rsidR="00323052" w:rsidRPr="00EA080F" w:rsidRDefault="00BE2267" w:rsidP="003A37E8">
      <w:pPr>
        <w:jc w:val="center"/>
        <w:rPr>
          <w:rFonts w:cs="Arial"/>
          <w:b/>
          <w:sz w:val="22"/>
          <w:szCs w:val="22"/>
        </w:rPr>
      </w:pPr>
      <w:r w:rsidRPr="00EA080F">
        <w:rPr>
          <w:rFonts w:cs="Arial"/>
          <w:b/>
          <w:sz w:val="22"/>
          <w:szCs w:val="22"/>
        </w:rPr>
        <w:t>Table of Contents</w:t>
      </w:r>
    </w:p>
    <w:p w:rsidR="00323052" w:rsidRPr="00EA080F" w:rsidRDefault="00BE2267">
      <w:pPr>
        <w:tabs>
          <w:tab w:val="center" w:pos="4680"/>
          <w:tab w:val="right" w:pos="9360"/>
        </w:tabs>
        <w:rPr>
          <w:rFonts w:cs="Arial"/>
          <w:b/>
          <w:sz w:val="22"/>
          <w:szCs w:val="22"/>
        </w:rPr>
      </w:pPr>
      <w:r w:rsidRPr="00EA080F">
        <w:rPr>
          <w:rFonts w:cs="Arial"/>
          <w:b/>
          <w:sz w:val="22"/>
          <w:szCs w:val="22"/>
        </w:rPr>
        <w:t>Article</w:t>
      </w:r>
      <w:r w:rsidRPr="00EA080F">
        <w:rPr>
          <w:rFonts w:cs="Arial"/>
          <w:b/>
          <w:sz w:val="22"/>
          <w:szCs w:val="22"/>
        </w:rPr>
        <w:tab/>
        <w:t>Description</w:t>
      </w:r>
      <w:r w:rsidRPr="00EA080F">
        <w:rPr>
          <w:rFonts w:cs="Arial"/>
          <w:b/>
          <w:sz w:val="22"/>
          <w:szCs w:val="22"/>
        </w:rPr>
        <w:tab/>
        <w:t>Page #</w:t>
      </w:r>
    </w:p>
    <w:p w:rsidR="00C93AE8" w:rsidRDefault="00CF5A0F">
      <w:pPr>
        <w:pStyle w:val="TOC1"/>
        <w:rPr>
          <w:rFonts w:asciiTheme="minorHAnsi" w:eastAsiaTheme="minorEastAsia" w:hAnsiTheme="minorHAnsi"/>
          <w:noProof/>
          <w:sz w:val="22"/>
          <w:szCs w:val="22"/>
        </w:rPr>
      </w:pPr>
      <w:r>
        <w:rPr>
          <w:bCs/>
          <w:noProof/>
          <w:sz w:val="28"/>
          <w:szCs w:val="28"/>
        </w:rPr>
        <w:fldChar w:fldCharType="begin"/>
      </w:r>
      <w:r>
        <w:rPr>
          <w:bCs/>
          <w:noProof/>
          <w:sz w:val="28"/>
          <w:szCs w:val="28"/>
        </w:rPr>
        <w:instrText xml:space="preserve"> TOC \h \z \u \t "1 Heading 1,1" </w:instrText>
      </w:r>
      <w:r>
        <w:rPr>
          <w:bCs/>
          <w:noProof/>
          <w:sz w:val="28"/>
          <w:szCs w:val="28"/>
        </w:rPr>
        <w:fldChar w:fldCharType="separate"/>
      </w:r>
      <w:hyperlink w:anchor="_Toc20808838" w:history="1">
        <w:r w:rsidR="00C93AE8" w:rsidRPr="003B0E57">
          <w:rPr>
            <w:rStyle w:val="Hyperlink"/>
            <w:noProof/>
          </w:rPr>
          <w:t>1.</w:t>
        </w:r>
        <w:r w:rsidR="00C93AE8">
          <w:rPr>
            <w:rFonts w:asciiTheme="minorHAnsi" w:eastAsiaTheme="minorEastAsia" w:hAnsiTheme="minorHAnsi"/>
            <w:noProof/>
            <w:sz w:val="22"/>
            <w:szCs w:val="22"/>
          </w:rPr>
          <w:tab/>
        </w:r>
        <w:r w:rsidR="00C93AE8" w:rsidRPr="003B0E57">
          <w:rPr>
            <w:rStyle w:val="Hyperlink"/>
            <w:noProof/>
          </w:rPr>
          <w:t>General.</w:t>
        </w:r>
        <w:r w:rsidR="00C93AE8">
          <w:rPr>
            <w:noProof/>
            <w:webHidden/>
          </w:rPr>
          <w:tab/>
        </w:r>
        <w:r w:rsidR="00C93AE8">
          <w:rPr>
            <w:noProof/>
            <w:webHidden/>
          </w:rPr>
          <w:fldChar w:fldCharType="begin"/>
        </w:r>
        <w:r w:rsidR="00C93AE8">
          <w:rPr>
            <w:noProof/>
            <w:webHidden/>
          </w:rPr>
          <w:instrText xml:space="preserve"> PAGEREF _Toc20808838 \h </w:instrText>
        </w:r>
        <w:r w:rsidR="00C93AE8">
          <w:rPr>
            <w:noProof/>
            <w:webHidden/>
          </w:rPr>
        </w:r>
        <w:r w:rsidR="00C93AE8">
          <w:rPr>
            <w:noProof/>
            <w:webHidden/>
          </w:rPr>
          <w:fldChar w:fldCharType="separate"/>
        </w:r>
        <w:r w:rsidR="000C6D36">
          <w:rPr>
            <w:noProof/>
            <w:webHidden/>
          </w:rPr>
          <w:t>2</w:t>
        </w:r>
        <w:r w:rsidR="00C93AE8">
          <w:rPr>
            <w:noProof/>
            <w:webHidden/>
          </w:rPr>
          <w:fldChar w:fldCharType="end"/>
        </w:r>
      </w:hyperlink>
    </w:p>
    <w:p w:rsidR="00C93AE8" w:rsidRDefault="008A15CD">
      <w:pPr>
        <w:pStyle w:val="TOC1"/>
        <w:rPr>
          <w:rFonts w:asciiTheme="minorHAnsi" w:eastAsiaTheme="minorEastAsia" w:hAnsiTheme="minorHAnsi"/>
          <w:noProof/>
          <w:sz w:val="22"/>
          <w:szCs w:val="22"/>
        </w:rPr>
      </w:pPr>
      <w:hyperlink w:anchor="_Toc20808839" w:history="1">
        <w:r w:rsidR="00C93AE8" w:rsidRPr="003B0E57">
          <w:rPr>
            <w:rStyle w:val="Hyperlink"/>
            <w:noProof/>
          </w:rPr>
          <w:t>2.</w:t>
        </w:r>
        <w:r w:rsidR="00C93AE8">
          <w:rPr>
            <w:rFonts w:asciiTheme="minorHAnsi" w:eastAsiaTheme="minorEastAsia" w:hAnsiTheme="minorHAnsi"/>
            <w:noProof/>
            <w:sz w:val="22"/>
            <w:szCs w:val="22"/>
          </w:rPr>
          <w:tab/>
        </w:r>
        <w:r w:rsidR="00C93AE8" w:rsidRPr="003B0E57">
          <w:rPr>
            <w:rStyle w:val="Hyperlink"/>
            <w:noProof/>
          </w:rPr>
          <w:t>Scope of Work.</w:t>
        </w:r>
        <w:r w:rsidR="00C93AE8">
          <w:rPr>
            <w:noProof/>
            <w:webHidden/>
          </w:rPr>
          <w:tab/>
        </w:r>
        <w:r w:rsidR="00C93AE8">
          <w:rPr>
            <w:noProof/>
            <w:webHidden/>
          </w:rPr>
          <w:fldChar w:fldCharType="begin"/>
        </w:r>
        <w:r w:rsidR="00C93AE8">
          <w:rPr>
            <w:noProof/>
            <w:webHidden/>
          </w:rPr>
          <w:instrText xml:space="preserve"> PAGEREF _Toc20808839 \h </w:instrText>
        </w:r>
        <w:r w:rsidR="00C93AE8">
          <w:rPr>
            <w:noProof/>
            <w:webHidden/>
          </w:rPr>
        </w:r>
        <w:r w:rsidR="00C93AE8">
          <w:rPr>
            <w:noProof/>
            <w:webHidden/>
          </w:rPr>
          <w:fldChar w:fldCharType="separate"/>
        </w:r>
        <w:r w:rsidR="000C6D36">
          <w:rPr>
            <w:noProof/>
            <w:webHidden/>
          </w:rPr>
          <w:t>2</w:t>
        </w:r>
        <w:r w:rsidR="00C93AE8">
          <w:rPr>
            <w:noProof/>
            <w:webHidden/>
          </w:rPr>
          <w:fldChar w:fldCharType="end"/>
        </w:r>
      </w:hyperlink>
    </w:p>
    <w:p w:rsidR="00C93AE8" w:rsidRDefault="008A15CD">
      <w:pPr>
        <w:pStyle w:val="TOC1"/>
        <w:rPr>
          <w:rFonts w:asciiTheme="minorHAnsi" w:eastAsiaTheme="minorEastAsia" w:hAnsiTheme="minorHAnsi"/>
          <w:noProof/>
          <w:sz w:val="22"/>
          <w:szCs w:val="22"/>
        </w:rPr>
      </w:pPr>
      <w:hyperlink w:anchor="_Toc20808840" w:history="1">
        <w:r w:rsidR="00C93AE8" w:rsidRPr="003B0E57">
          <w:rPr>
            <w:rStyle w:val="Hyperlink"/>
            <w:noProof/>
          </w:rPr>
          <w:t>3.</w:t>
        </w:r>
        <w:r w:rsidR="00C93AE8">
          <w:rPr>
            <w:rFonts w:asciiTheme="minorHAnsi" w:eastAsiaTheme="minorEastAsia" w:hAnsiTheme="minorHAnsi"/>
            <w:noProof/>
            <w:sz w:val="22"/>
            <w:szCs w:val="22"/>
          </w:rPr>
          <w:tab/>
        </w:r>
        <w:r w:rsidR="00C93AE8" w:rsidRPr="003B0E57">
          <w:rPr>
            <w:rStyle w:val="Hyperlink"/>
            <w:noProof/>
          </w:rPr>
          <w:t>Prosecution and Progress.</w:t>
        </w:r>
        <w:r w:rsidR="00C93AE8">
          <w:rPr>
            <w:noProof/>
            <w:webHidden/>
          </w:rPr>
          <w:tab/>
        </w:r>
        <w:r w:rsidR="00C93AE8">
          <w:rPr>
            <w:noProof/>
            <w:webHidden/>
          </w:rPr>
          <w:fldChar w:fldCharType="begin"/>
        </w:r>
        <w:r w:rsidR="00C93AE8">
          <w:rPr>
            <w:noProof/>
            <w:webHidden/>
          </w:rPr>
          <w:instrText xml:space="preserve"> PAGEREF _Toc20808840 \h </w:instrText>
        </w:r>
        <w:r w:rsidR="00C93AE8">
          <w:rPr>
            <w:noProof/>
            <w:webHidden/>
          </w:rPr>
        </w:r>
        <w:r w:rsidR="00C93AE8">
          <w:rPr>
            <w:noProof/>
            <w:webHidden/>
          </w:rPr>
          <w:fldChar w:fldCharType="separate"/>
        </w:r>
        <w:r w:rsidR="000C6D36">
          <w:rPr>
            <w:noProof/>
            <w:webHidden/>
          </w:rPr>
          <w:t>2</w:t>
        </w:r>
        <w:r w:rsidR="00C93AE8">
          <w:rPr>
            <w:noProof/>
            <w:webHidden/>
          </w:rPr>
          <w:fldChar w:fldCharType="end"/>
        </w:r>
      </w:hyperlink>
    </w:p>
    <w:p w:rsidR="00C93AE8" w:rsidRDefault="008A15CD">
      <w:pPr>
        <w:pStyle w:val="TOC1"/>
        <w:rPr>
          <w:rFonts w:asciiTheme="minorHAnsi" w:eastAsiaTheme="minorEastAsia" w:hAnsiTheme="minorHAnsi"/>
          <w:noProof/>
          <w:sz w:val="22"/>
          <w:szCs w:val="22"/>
        </w:rPr>
      </w:pPr>
      <w:hyperlink w:anchor="_Toc20808841" w:history="1">
        <w:r w:rsidR="00C93AE8" w:rsidRPr="003B0E57">
          <w:rPr>
            <w:rStyle w:val="Hyperlink"/>
            <w:noProof/>
          </w:rPr>
          <w:t>4.</w:t>
        </w:r>
        <w:r w:rsidR="00C93AE8">
          <w:rPr>
            <w:rFonts w:asciiTheme="minorHAnsi" w:eastAsiaTheme="minorEastAsia" w:hAnsiTheme="minorHAnsi"/>
            <w:noProof/>
            <w:sz w:val="22"/>
            <w:szCs w:val="22"/>
          </w:rPr>
          <w:tab/>
        </w:r>
        <w:r w:rsidR="00C93AE8" w:rsidRPr="003B0E57">
          <w:rPr>
            <w:rStyle w:val="Hyperlink"/>
            <w:noProof/>
          </w:rPr>
          <w:t>Traffic.</w:t>
        </w:r>
        <w:r w:rsidR="00C93AE8">
          <w:rPr>
            <w:noProof/>
            <w:webHidden/>
          </w:rPr>
          <w:tab/>
        </w:r>
        <w:r w:rsidR="00C93AE8">
          <w:rPr>
            <w:noProof/>
            <w:webHidden/>
          </w:rPr>
          <w:fldChar w:fldCharType="begin"/>
        </w:r>
        <w:r w:rsidR="00C93AE8">
          <w:rPr>
            <w:noProof/>
            <w:webHidden/>
          </w:rPr>
          <w:instrText xml:space="preserve"> PAGEREF _Toc20808841 \h </w:instrText>
        </w:r>
        <w:r w:rsidR="00C93AE8">
          <w:rPr>
            <w:noProof/>
            <w:webHidden/>
          </w:rPr>
        </w:r>
        <w:r w:rsidR="00C93AE8">
          <w:rPr>
            <w:noProof/>
            <w:webHidden/>
          </w:rPr>
          <w:fldChar w:fldCharType="separate"/>
        </w:r>
        <w:r w:rsidR="000C6D36">
          <w:rPr>
            <w:noProof/>
            <w:webHidden/>
          </w:rPr>
          <w:t>2</w:t>
        </w:r>
        <w:r w:rsidR="00C93AE8">
          <w:rPr>
            <w:noProof/>
            <w:webHidden/>
          </w:rPr>
          <w:fldChar w:fldCharType="end"/>
        </w:r>
      </w:hyperlink>
    </w:p>
    <w:p w:rsidR="00C93AE8" w:rsidRDefault="008A15CD">
      <w:pPr>
        <w:pStyle w:val="TOC1"/>
        <w:rPr>
          <w:rFonts w:asciiTheme="minorHAnsi" w:eastAsiaTheme="minorEastAsia" w:hAnsiTheme="minorHAnsi"/>
          <w:noProof/>
          <w:sz w:val="22"/>
          <w:szCs w:val="22"/>
        </w:rPr>
      </w:pPr>
      <w:hyperlink w:anchor="_Toc20808842" w:history="1">
        <w:r w:rsidR="00C93AE8" w:rsidRPr="003B0E57">
          <w:rPr>
            <w:rStyle w:val="Hyperlink"/>
            <w:noProof/>
          </w:rPr>
          <w:t>5.</w:t>
        </w:r>
        <w:r w:rsidR="00C93AE8">
          <w:rPr>
            <w:rFonts w:asciiTheme="minorHAnsi" w:eastAsiaTheme="minorEastAsia" w:hAnsiTheme="minorHAnsi"/>
            <w:noProof/>
            <w:sz w:val="22"/>
            <w:szCs w:val="22"/>
          </w:rPr>
          <w:tab/>
        </w:r>
        <w:r w:rsidR="00C93AE8" w:rsidRPr="003B0E57">
          <w:rPr>
            <w:rStyle w:val="Hyperlink"/>
            <w:noProof/>
          </w:rPr>
          <w:t>Public Convenience and Safety.</w:t>
        </w:r>
        <w:r w:rsidR="00C93AE8">
          <w:rPr>
            <w:noProof/>
            <w:webHidden/>
          </w:rPr>
          <w:tab/>
        </w:r>
        <w:r w:rsidR="00C93AE8">
          <w:rPr>
            <w:noProof/>
            <w:webHidden/>
          </w:rPr>
          <w:fldChar w:fldCharType="begin"/>
        </w:r>
        <w:r w:rsidR="00C93AE8">
          <w:rPr>
            <w:noProof/>
            <w:webHidden/>
          </w:rPr>
          <w:instrText xml:space="preserve"> PAGEREF _Toc20808842 \h </w:instrText>
        </w:r>
        <w:r w:rsidR="00C93AE8">
          <w:rPr>
            <w:noProof/>
            <w:webHidden/>
          </w:rPr>
        </w:r>
        <w:r w:rsidR="00C93AE8">
          <w:rPr>
            <w:noProof/>
            <w:webHidden/>
          </w:rPr>
          <w:fldChar w:fldCharType="separate"/>
        </w:r>
        <w:r w:rsidR="000C6D36">
          <w:rPr>
            <w:noProof/>
            <w:webHidden/>
          </w:rPr>
          <w:t>3</w:t>
        </w:r>
        <w:r w:rsidR="00C93AE8">
          <w:rPr>
            <w:noProof/>
            <w:webHidden/>
          </w:rPr>
          <w:fldChar w:fldCharType="end"/>
        </w:r>
      </w:hyperlink>
    </w:p>
    <w:p w:rsidR="00C93AE8" w:rsidRDefault="008A15CD">
      <w:pPr>
        <w:pStyle w:val="TOC1"/>
        <w:rPr>
          <w:rFonts w:asciiTheme="minorHAnsi" w:eastAsiaTheme="minorEastAsia" w:hAnsiTheme="minorHAnsi"/>
          <w:noProof/>
          <w:sz w:val="22"/>
          <w:szCs w:val="22"/>
        </w:rPr>
      </w:pPr>
      <w:hyperlink w:anchor="_Toc20808843" w:history="1">
        <w:r w:rsidR="00C93AE8" w:rsidRPr="003B0E57">
          <w:rPr>
            <w:rStyle w:val="Hyperlink"/>
            <w:noProof/>
          </w:rPr>
          <w:t>6.</w:t>
        </w:r>
        <w:r w:rsidR="00C93AE8">
          <w:rPr>
            <w:rFonts w:asciiTheme="minorHAnsi" w:eastAsiaTheme="minorEastAsia" w:hAnsiTheme="minorHAnsi"/>
            <w:noProof/>
            <w:sz w:val="22"/>
            <w:szCs w:val="22"/>
          </w:rPr>
          <w:tab/>
        </w:r>
        <w:r w:rsidR="00C93AE8" w:rsidRPr="003B0E57">
          <w:rPr>
            <w:rStyle w:val="Hyperlink"/>
            <w:noProof/>
          </w:rPr>
          <w:t>Other Work.</w:t>
        </w:r>
        <w:r w:rsidR="00C93AE8">
          <w:rPr>
            <w:noProof/>
            <w:webHidden/>
          </w:rPr>
          <w:tab/>
        </w:r>
        <w:r w:rsidR="00C93AE8">
          <w:rPr>
            <w:noProof/>
            <w:webHidden/>
          </w:rPr>
          <w:fldChar w:fldCharType="begin"/>
        </w:r>
        <w:r w:rsidR="00C93AE8">
          <w:rPr>
            <w:noProof/>
            <w:webHidden/>
          </w:rPr>
          <w:instrText xml:space="preserve"> PAGEREF _Toc20808843 \h </w:instrText>
        </w:r>
        <w:r w:rsidR="00C93AE8">
          <w:rPr>
            <w:noProof/>
            <w:webHidden/>
          </w:rPr>
        </w:r>
        <w:r w:rsidR="00C93AE8">
          <w:rPr>
            <w:noProof/>
            <w:webHidden/>
          </w:rPr>
          <w:fldChar w:fldCharType="separate"/>
        </w:r>
        <w:r w:rsidR="000C6D36">
          <w:rPr>
            <w:noProof/>
            <w:webHidden/>
          </w:rPr>
          <w:t>3</w:t>
        </w:r>
        <w:r w:rsidR="00C93AE8">
          <w:rPr>
            <w:noProof/>
            <w:webHidden/>
          </w:rPr>
          <w:fldChar w:fldCharType="end"/>
        </w:r>
      </w:hyperlink>
    </w:p>
    <w:p w:rsidR="00C93AE8" w:rsidRDefault="008A15CD">
      <w:pPr>
        <w:pStyle w:val="TOC1"/>
        <w:rPr>
          <w:rFonts w:asciiTheme="minorHAnsi" w:eastAsiaTheme="minorEastAsia" w:hAnsiTheme="minorHAnsi"/>
          <w:noProof/>
          <w:sz w:val="22"/>
          <w:szCs w:val="22"/>
        </w:rPr>
      </w:pPr>
      <w:hyperlink w:anchor="_Toc20808844" w:history="1">
        <w:r w:rsidR="00C93AE8" w:rsidRPr="003B0E57">
          <w:rPr>
            <w:rStyle w:val="Hyperlink"/>
            <w:noProof/>
          </w:rPr>
          <w:t>7.</w:t>
        </w:r>
        <w:r w:rsidR="00C93AE8">
          <w:rPr>
            <w:rFonts w:asciiTheme="minorHAnsi" w:eastAsiaTheme="minorEastAsia" w:hAnsiTheme="minorHAnsi"/>
            <w:noProof/>
            <w:sz w:val="22"/>
            <w:szCs w:val="22"/>
          </w:rPr>
          <w:tab/>
        </w:r>
        <w:r w:rsidR="00C93AE8" w:rsidRPr="003B0E57">
          <w:rPr>
            <w:rStyle w:val="Hyperlink"/>
            <w:noProof/>
          </w:rPr>
          <w:t>Holiday Work Restrictions.</w:t>
        </w:r>
        <w:r w:rsidR="00C93AE8">
          <w:rPr>
            <w:noProof/>
            <w:webHidden/>
          </w:rPr>
          <w:tab/>
        </w:r>
        <w:r w:rsidR="00C93AE8">
          <w:rPr>
            <w:noProof/>
            <w:webHidden/>
          </w:rPr>
          <w:fldChar w:fldCharType="begin"/>
        </w:r>
        <w:r w:rsidR="00C93AE8">
          <w:rPr>
            <w:noProof/>
            <w:webHidden/>
          </w:rPr>
          <w:instrText xml:space="preserve"> PAGEREF _Toc20808844 \h </w:instrText>
        </w:r>
        <w:r w:rsidR="00C93AE8">
          <w:rPr>
            <w:noProof/>
            <w:webHidden/>
          </w:rPr>
        </w:r>
        <w:r w:rsidR="00C93AE8">
          <w:rPr>
            <w:noProof/>
            <w:webHidden/>
          </w:rPr>
          <w:fldChar w:fldCharType="separate"/>
        </w:r>
        <w:r w:rsidR="000C6D36">
          <w:rPr>
            <w:noProof/>
            <w:webHidden/>
          </w:rPr>
          <w:t>4</w:t>
        </w:r>
        <w:r w:rsidR="00C93AE8">
          <w:rPr>
            <w:noProof/>
            <w:webHidden/>
          </w:rPr>
          <w:fldChar w:fldCharType="end"/>
        </w:r>
      </w:hyperlink>
    </w:p>
    <w:p w:rsidR="00C93AE8" w:rsidRDefault="008A15CD">
      <w:pPr>
        <w:pStyle w:val="TOC1"/>
        <w:rPr>
          <w:rFonts w:asciiTheme="minorHAnsi" w:eastAsiaTheme="minorEastAsia" w:hAnsiTheme="minorHAnsi"/>
          <w:noProof/>
          <w:sz w:val="22"/>
          <w:szCs w:val="22"/>
        </w:rPr>
      </w:pPr>
      <w:hyperlink w:anchor="_Toc20808845" w:history="1">
        <w:r w:rsidR="00C93AE8" w:rsidRPr="003B0E57">
          <w:rPr>
            <w:rStyle w:val="Hyperlink"/>
            <w:noProof/>
          </w:rPr>
          <w:t>8.</w:t>
        </w:r>
        <w:r w:rsidR="00C93AE8">
          <w:rPr>
            <w:rFonts w:asciiTheme="minorHAnsi" w:eastAsiaTheme="minorEastAsia" w:hAnsiTheme="minorHAnsi"/>
            <w:noProof/>
            <w:sz w:val="22"/>
            <w:szCs w:val="22"/>
          </w:rPr>
          <w:tab/>
        </w:r>
        <w:r w:rsidR="00C93AE8" w:rsidRPr="003B0E57">
          <w:rPr>
            <w:rStyle w:val="Hyperlink"/>
            <w:noProof/>
          </w:rPr>
          <w:t>Environmental Protection</w:t>
        </w:r>
        <w:r w:rsidR="00C93AE8">
          <w:rPr>
            <w:noProof/>
            <w:webHidden/>
          </w:rPr>
          <w:tab/>
        </w:r>
        <w:r w:rsidR="00C93AE8">
          <w:rPr>
            <w:noProof/>
            <w:webHidden/>
          </w:rPr>
          <w:fldChar w:fldCharType="begin"/>
        </w:r>
        <w:r w:rsidR="00C93AE8">
          <w:rPr>
            <w:noProof/>
            <w:webHidden/>
          </w:rPr>
          <w:instrText xml:space="preserve"> PAGEREF _Toc20808845 \h </w:instrText>
        </w:r>
        <w:r w:rsidR="00C93AE8">
          <w:rPr>
            <w:noProof/>
            <w:webHidden/>
          </w:rPr>
        </w:r>
        <w:r w:rsidR="00C93AE8">
          <w:rPr>
            <w:noProof/>
            <w:webHidden/>
          </w:rPr>
          <w:fldChar w:fldCharType="separate"/>
        </w:r>
        <w:r w:rsidR="000C6D36">
          <w:rPr>
            <w:noProof/>
            <w:webHidden/>
          </w:rPr>
          <w:t>4</w:t>
        </w:r>
        <w:r w:rsidR="00C93AE8">
          <w:rPr>
            <w:noProof/>
            <w:webHidden/>
          </w:rPr>
          <w:fldChar w:fldCharType="end"/>
        </w:r>
      </w:hyperlink>
    </w:p>
    <w:p w:rsidR="00C93AE8" w:rsidRDefault="008A15CD">
      <w:pPr>
        <w:pStyle w:val="TOC1"/>
        <w:rPr>
          <w:rFonts w:asciiTheme="minorHAnsi" w:eastAsiaTheme="minorEastAsia" w:hAnsiTheme="minorHAnsi"/>
          <w:noProof/>
          <w:sz w:val="22"/>
          <w:szCs w:val="22"/>
        </w:rPr>
      </w:pPr>
      <w:hyperlink w:anchor="_Toc20808846" w:history="1">
        <w:r w:rsidR="00C93AE8" w:rsidRPr="003B0E57">
          <w:rPr>
            <w:rStyle w:val="Hyperlink"/>
            <w:noProof/>
          </w:rPr>
          <w:t>9.</w:t>
        </w:r>
        <w:r w:rsidR="00C93AE8">
          <w:rPr>
            <w:rFonts w:asciiTheme="minorHAnsi" w:eastAsiaTheme="minorEastAsia" w:hAnsiTheme="minorHAnsi"/>
            <w:noProof/>
            <w:sz w:val="22"/>
            <w:szCs w:val="22"/>
          </w:rPr>
          <w:tab/>
        </w:r>
        <w:r w:rsidR="00C93AE8" w:rsidRPr="003B0E57">
          <w:rPr>
            <w:rStyle w:val="Hyperlink"/>
            <w:noProof/>
          </w:rPr>
          <w:t>Environmental Protection – Dewatering</w:t>
        </w:r>
        <w:r w:rsidR="00C93AE8">
          <w:rPr>
            <w:noProof/>
            <w:webHidden/>
          </w:rPr>
          <w:tab/>
        </w:r>
        <w:r w:rsidR="00C93AE8">
          <w:rPr>
            <w:noProof/>
            <w:webHidden/>
          </w:rPr>
          <w:fldChar w:fldCharType="begin"/>
        </w:r>
        <w:r w:rsidR="00C93AE8">
          <w:rPr>
            <w:noProof/>
            <w:webHidden/>
          </w:rPr>
          <w:instrText xml:space="preserve"> PAGEREF _Toc20808846 \h </w:instrText>
        </w:r>
        <w:r w:rsidR="00C93AE8">
          <w:rPr>
            <w:noProof/>
            <w:webHidden/>
          </w:rPr>
        </w:r>
        <w:r w:rsidR="00C93AE8">
          <w:rPr>
            <w:noProof/>
            <w:webHidden/>
          </w:rPr>
          <w:fldChar w:fldCharType="separate"/>
        </w:r>
        <w:r w:rsidR="000C6D36">
          <w:rPr>
            <w:noProof/>
            <w:webHidden/>
          </w:rPr>
          <w:t>4</w:t>
        </w:r>
        <w:r w:rsidR="00C93AE8">
          <w:rPr>
            <w:noProof/>
            <w:webHidden/>
          </w:rPr>
          <w:fldChar w:fldCharType="end"/>
        </w:r>
      </w:hyperlink>
    </w:p>
    <w:p w:rsidR="00C93AE8" w:rsidRDefault="008A15CD">
      <w:pPr>
        <w:pStyle w:val="TOC1"/>
        <w:rPr>
          <w:rFonts w:asciiTheme="minorHAnsi" w:eastAsiaTheme="minorEastAsia" w:hAnsiTheme="minorHAnsi"/>
          <w:noProof/>
          <w:sz w:val="22"/>
          <w:szCs w:val="22"/>
        </w:rPr>
      </w:pPr>
      <w:hyperlink w:anchor="_Toc20808847" w:history="1">
        <w:r w:rsidR="00C93AE8" w:rsidRPr="003B0E57">
          <w:rPr>
            <w:rStyle w:val="Hyperlink"/>
            <w:noProof/>
          </w:rPr>
          <w:t>10.</w:t>
        </w:r>
        <w:r w:rsidR="00C93AE8">
          <w:rPr>
            <w:rFonts w:asciiTheme="minorHAnsi" w:eastAsiaTheme="minorEastAsia" w:hAnsiTheme="minorHAnsi"/>
            <w:noProof/>
            <w:sz w:val="22"/>
            <w:szCs w:val="22"/>
          </w:rPr>
          <w:tab/>
        </w:r>
        <w:r w:rsidR="00C93AE8" w:rsidRPr="003B0E57">
          <w:rPr>
            <w:rStyle w:val="Hyperlink"/>
            <w:noProof/>
          </w:rPr>
          <w:t>Utilities.</w:t>
        </w:r>
        <w:r w:rsidR="00C93AE8">
          <w:rPr>
            <w:noProof/>
            <w:webHidden/>
          </w:rPr>
          <w:tab/>
        </w:r>
        <w:r w:rsidR="00C93AE8">
          <w:rPr>
            <w:noProof/>
            <w:webHidden/>
          </w:rPr>
          <w:fldChar w:fldCharType="begin"/>
        </w:r>
        <w:r w:rsidR="00C93AE8">
          <w:rPr>
            <w:noProof/>
            <w:webHidden/>
          </w:rPr>
          <w:instrText xml:space="preserve"> PAGEREF _Toc20808847 \h </w:instrText>
        </w:r>
        <w:r w:rsidR="00C93AE8">
          <w:rPr>
            <w:noProof/>
            <w:webHidden/>
          </w:rPr>
        </w:r>
        <w:r w:rsidR="00C93AE8">
          <w:rPr>
            <w:noProof/>
            <w:webHidden/>
          </w:rPr>
          <w:fldChar w:fldCharType="separate"/>
        </w:r>
        <w:r w:rsidR="000C6D36">
          <w:rPr>
            <w:noProof/>
            <w:webHidden/>
          </w:rPr>
          <w:t>4</w:t>
        </w:r>
        <w:r w:rsidR="00C93AE8">
          <w:rPr>
            <w:noProof/>
            <w:webHidden/>
          </w:rPr>
          <w:fldChar w:fldCharType="end"/>
        </w:r>
      </w:hyperlink>
    </w:p>
    <w:p w:rsidR="00C93AE8" w:rsidRDefault="008A15CD">
      <w:pPr>
        <w:pStyle w:val="TOC1"/>
        <w:rPr>
          <w:rFonts w:asciiTheme="minorHAnsi" w:eastAsiaTheme="minorEastAsia" w:hAnsiTheme="minorHAnsi"/>
          <w:noProof/>
          <w:sz w:val="22"/>
          <w:szCs w:val="22"/>
        </w:rPr>
      </w:pPr>
      <w:hyperlink w:anchor="_Toc20808848" w:history="1">
        <w:r w:rsidR="00C93AE8" w:rsidRPr="003B0E57">
          <w:rPr>
            <w:rStyle w:val="Hyperlink"/>
            <w:noProof/>
          </w:rPr>
          <w:t>11.</w:t>
        </w:r>
        <w:r w:rsidR="00C93AE8">
          <w:rPr>
            <w:rFonts w:asciiTheme="minorHAnsi" w:eastAsiaTheme="minorEastAsia" w:hAnsiTheme="minorHAnsi"/>
            <w:noProof/>
            <w:sz w:val="22"/>
            <w:szCs w:val="22"/>
          </w:rPr>
          <w:tab/>
        </w:r>
        <w:r w:rsidR="00C93AE8" w:rsidRPr="003B0E57">
          <w:rPr>
            <w:rStyle w:val="Hyperlink"/>
            <w:noProof/>
          </w:rPr>
          <w:t>Traffic Control.</w:t>
        </w:r>
        <w:r w:rsidR="00C93AE8">
          <w:rPr>
            <w:noProof/>
            <w:webHidden/>
          </w:rPr>
          <w:tab/>
        </w:r>
        <w:r w:rsidR="00C93AE8">
          <w:rPr>
            <w:noProof/>
            <w:webHidden/>
          </w:rPr>
          <w:fldChar w:fldCharType="begin"/>
        </w:r>
        <w:r w:rsidR="00C93AE8">
          <w:rPr>
            <w:noProof/>
            <w:webHidden/>
          </w:rPr>
          <w:instrText xml:space="preserve"> PAGEREF _Toc20808848 \h </w:instrText>
        </w:r>
        <w:r w:rsidR="00C93AE8">
          <w:rPr>
            <w:noProof/>
            <w:webHidden/>
          </w:rPr>
        </w:r>
        <w:r w:rsidR="00C93AE8">
          <w:rPr>
            <w:noProof/>
            <w:webHidden/>
          </w:rPr>
          <w:fldChar w:fldCharType="separate"/>
        </w:r>
        <w:r w:rsidR="000C6D36">
          <w:rPr>
            <w:noProof/>
            <w:webHidden/>
          </w:rPr>
          <w:t>5</w:t>
        </w:r>
        <w:r w:rsidR="00C93AE8">
          <w:rPr>
            <w:noProof/>
            <w:webHidden/>
          </w:rPr>
          <w:fldChar w:fldCharType="end"/>
        </w:r>
      </w:hyperlink>
    </w:p>
    <w:p w:rsidR="00C93AE8" w:rsidRDefault="008A15CD">
      <w:pPr>
        <w:pStyle w:val="TOC1"/>
        <w:rPr>
          <w:rFonts w:asciiTheme="minorHAnsi" w:eastAsiaTheme="minorEastAsia" w:hAnsiTheme="minorHAnsi"/>
          <w:noProof/>
          <w:sz w:val="22"/>
          <w:szCs w:val="22"/>
        </w:rPr>
      </w:pPr>
      <w:hyperlink w:anchor="_Toc20808849" w:history="1">
        <w:r w:rsidR="00C93AE8" w:rsidRPr="003B0E57">
          <w:rPr>
            <w:rStyle w:val="Hyperlink"/>
            <w:noProof/>
          </w:rPr>
          <w:t>12.</w:t>
        </w:r>
        <w:r w:rsidR="00C93AE8">
          <w:rPr>
            <w:rFonts w:asciiTheme="minorHAnsi" w:eastAsiaTheme="minorEastAsia" w:hAnsiTheme="minorHAnsi"/>
            <w:noProof/>
            <w:sz w:val="22"/>
            <w:szCs w:val="22"/>
          </w:rPr>
          <w:tab/>
        </w:r>
        <w:r w:rsidR="00C93AE8" w:rsidRPr="003B0E57">
          <w:rPr>
            <w:rStyle w:val="Hyperlink"/>
            <w:noProof/>
          </w:rPr>
          <w:t>Temporary Portable Rumble Strips, Item 643.0310.S.</w:t>
        </w:r>
        <w:r w:rsidR="00C93AE8">
          <w:rPr>
            <w:noProof/>
            <w:webHidden/>
          </w:rPr>
          <w:tab/>
        </w:r>
        <w:r w:rsidR="00C93AE8">
          <w:rPr>
            <w:noProof/>
            <w:webHidden/>
          </w:rPr>
          <w:fldChar w:fldCharType="begin"/>
        </w:r>
        <w:r w:rsidR="00C93AE8">
          <w:rPr>
            <w:noProof/>
            <w:webHidden/>
          </w:rPr>
          <w:instrText xml:space="preserve"> PAGEREF _Toc20808849 \h </w:instrText>
        </w:r>
        <w:r w:rsidR="00C93AE8">
          <w:rPr>
            <w:noProof/>
            <w:webHidden/>
          </w:rPr>
        </w:r>
        <w:r w:rsidR="00C93AE8">
          <w:rPr>
            <w:noProof/>
            <w:webHidden/>
          </w:rPr>
          <w:fldChar w:fldCharType="separate"/>
        </w:r>
        <w:r w:rsidR="000C6D36">
          <w:rPr>
            <w:noProof/>
            <w:webHidden/>
          </w:rPr>
          <w:t>5</w:t>
        </w:r>
        <w:r w:rsidR="00C93AE8">
          <w:rPr>
            <w:noProof/>
            <w:webHidden/>
          </w:rPr>
          <w:fldChar w:fldCharType="end"/>
        </w:r>
      </w:hyperlink>
    </w:p>
    <w:p w:rsidR="00C93AE8" w:rsidRDefault="008A15CD">
      <w:pPr>
        <w:pStyle w:val="TOC1"/>
        <w:rPr>
          <w:rFonts w:asciiTheme="minorHAnsi" w:eastAsiaTheme="minorEastAsia" w:hAnsiTheme="minorHAnsi"/>
          <w:noProof/>
          <w:sz w:val="22"/>
          <w:szCs w:val="22"/>
        </w:rPr>
      </w:pPr>
      <w:hyperlink w:anchor="_Toc20808850" w:history="1">
        <w:r w:rsidR="00C93AE8" w:rsidRPr="003B0E57">
          <w:rPr>
            <w:rStyle w:val="Hyperlink"/>
            <w:noProof/>
          </w:rPr>
          <w:t>13.</w:t>
        </w:r>
        <w:r w:rsidR="00C93AE8">
          <w:rPr>
            <w:rFonts w:asciiTheme="minorHAnsi" w:eastAsiaTheme="minorEastAsia" w:hAnsiTheme="minorHAnsi"/>
            <w:noProof/>
            <w:sz w:val="22"/>
            <w:szCs w:val="22"/>
          </w:rPr>
          <w:tab/>
        </w:r>
        <w:r w:rsidR="00C93AE8" w:rsidRPr="003B0E57">
          <w:rPr>
            <w:rStyle w:val="Hyperlink"/>
            <w:noProof/>
          </w:rPr>
          <w:t>Removing Distressed Pavement Milling, Item SPV.0180.01.</w:t>
        </w:r>
        <w:r w:rsidR="00C93AE8">
          <w:rPr>
            <w:noProof/>
            <w:webHidden/>
          </w:rPr>
          <w:tab/>
        </w:r>
        <w:r w:rsidR="00C93AE8">
          <w:rPr>
            <w:noProof/>
            <w:webHidden/>
          </w:rPr>
          <w:fldChar w:fldCharType="begin"/>
        </w:r>
        <w:r w:rsidR="00C93AE8">
          <w:rPr>
            <w:noProof/>
            <w:webHidden/>
          </w:rPr>
          <w:instrText xml:space="preserve"> PAGEREF _Toc20808850 \h </w:instrText>
        </w:r>
        <w:r w:rsidR="00C93AE8">
          <w:rPr>
            <w:noProof/>
            <w:webHidden/>
          </w:rPr>
        </w:r>
        <w:r w:rsidR="00C93AE8">
          <w:rPr>
            <w:noProof/>
            <w:webHidden/>
          </w:rPr>
          <w:fldChar w:fldCharType="separate"/>
        </w:r>
        <w:r w:rsidR="000C6D36">
          <w:rPr>
            <w:noProof/>
            <w:webHidden/>
          </w:rPr>
          <w:t>6</w:t>
        </w:r>
        <w:r w:rsidR="00C93AE8">
          <w:rPr>
            <w:noProof/>
            <w:webHidden/>
          </w:rPr>
          <w:fldChar w:fldCharType="end"/>
        </w:r>
      </w:hyperlink>
    </w:p>
    <w:p w:rsidR="00323052" w:rsidRPr="00EA080F" w:rsidRDefault="00CF5A0F" w:rsidP="00FF6859">
      <w:pPr>
        <w:rPr>
          <w:rFonts w:cs="Arial"/>
          <w:noProof/>
        </w:rPr>
        <w:sectPr w:rsidR="00323052" w:rsidRPr="00EA080F" w:rsidSect="002272C0">
          <w:footerReference w:type="default" r:id="rId11"/>
          <w:type w:val="continuous"/>
          <w:pgSz w:w="12240" w:h="15840"/>
          <w:pgMar w:top="720" w:right="1440" w:bottom="720" w:left="1440" w:header="288" w:footer="288" w:gutter="0"/>
          <w:cols w:space="720"/>
          <w:docGrid w:linePitch="360"/>
        </w:sectPr>
      </w:pPr>
      <w:r>
        <w:rPr>
          <w:bCs/>
          <w:noProof/>
          <w:sz w:val="28"/>
          <w:szCs w:val="28"/>
        </w:rPr>
        <w:fldChar w:fldCharType="end"/>
      </w:r>
    </w:p>
    <w:p w:rsidR="00323052" w:rsidRPr="00EA080F" w:rsidRDefault="00BE2267" w:rsidP="00053AD8">
      <w:pPr>
        <w:jc w:val="center"/>
        <w:rPr>
          <w:rFonts w:cs="Arial"/>
          <w:b/>
          <w:sz w:val="22"/>
        </w:rPr>
      </w:pPr>
      <w:r w:rsidRPr="00EA080F">
        <w:rPr>
          <w:rFonts w:cs="Arial"/>
          <w:b/>
          <w:sz w:val="22"/>
        </w:rPr>
        <w:lastRenderedPageBreak/>
        <w:t>STSP’S Revised</w:t>
      </w:r>
      <w:r w:rsidR="005613B9" w:rsidRPr="00EA080F">
        <w:rPr>
          <w:rFonts w:cs="Arial"/>
          <w:b/>
          <w:sz w:val="22"/>
        </w:rPr>
        <w:t xml:space="preserve"> </w:t>
      </w:r>
      <w:r w:rsidR="004F05C1">
        <w:rPr>
          <w:rFonts w:cs="Arial"/>
          <w:b/>
          <w:sz w:val="22"/>
        </w:rPr>
        <w:t xml:space="preserve">June </w:t>
      </w:r>
      <w:r w:rsidR="004E2D95">
        <w:rPr>
          <w:rFonts w:cs="Arial"/>
          <w:b/>
          <w:sz w:val="22"/>
        </w:rPr>
        <w:t>1</w:t>
      </w:r>
      <w:r w:rsidR="004F05C1">
        <w:rPr>
          <w:rFonts w:cs="Arial"/>
          <w:b/>
          <w:sz w:val="22"/>
        </w:rPr>
        <w:t>8, 201</w:t>
      </w:r>
      <w:r w:rsidR="004E2D95">
        <w:rPr>
          <w:rFonts w:cs="Arial"/>
          <w:b/>
          <w:sz w:val="22"/>
        </w:rPr>
        <w:t>9</w:t>
      </w:r>
    </w:p>
    <w:p w:rsidR="00323052" w:rsidRPr="00EA080F" w:rsidRDefault="00BE2267">
      <w:pPr>
        <w:jc w:val="center"/>
        <w:rPr>
          <w:rFonts w:cs="Arial"/>
          <w:b/>
          <w:sz w:val="22"/>
        </w:rPr>
      </w:pPr>
      <w:r w:rsidRPr="00EA080F">
        <w:rPr>
          <w:rFonts w:cs="Arial"/>
          <w:b/>
          <w:sz w:val="22"/>
        </w:rPr>
        <w:t>SPECIAL PROVISIONS</w:t>
      </w:r>
    </w:p>
    <w:p w:rsidR="00323052" w:rsidRPr="003A37E8" w:rsidRDefault="00BE2267" w:rsidP="003A37E8">
      <w:pPr>
        <w:pStyle w:val="1Heading1"/>
      </w:pPr>
      <w:bookmarkStart w:id="0" w:name="_Toc20808838"/>
      <w:r w:rsidRPr="003A37E8">
        <w:t>General.</w:t>
      </w:r>
      <w:bookmarkEnd w:id="0"/>
    </w:p>
    <w:p w:rsidR="00323052" w:rsidRDefault="00BE2267" w:rsidP="00A57FBE">
      <w:pPr>
        <w:pStyle w:val="spParagraph"/>
      </w:pPr>
      <w:r>
        <w:t xml:space="preserve">Perform the work under this construction contract for Project </w:t>
      </w:r>
      <w:r w:rsidR="005C5BCB">
        <w:t>6220-00-72, Waupaca – Clintonville, STH 110S – STH 54E/S BR Little Wolf, STH 22, Waupaca County</w:t>
      </w:r>
      <w:r>
        <w:t>, Wisconsin as the plans show and execute the work as specified in the State of Wisconsin, Department of Transportation, Standard Specifications for Highway and Structure Construction, 20</w:t>
      </w:r>
      <w:r w:rsidR="003D7523">
        <w:t>20</w:t>
      </w:r>
      <w:r>
        <w:t xml:space="preserve"> Edition, as published by the department, and these special provisions.</w:t>
      </w:r>
    </w:p>
    <w:p w:rsidR="00323052" w:rsidRDefault="00BE2267" w:rsidP="00A57FBE">
      <w:pPr>
        <w:pStyle w:val="spParagraph"/>
      </w:pPr>
      <w:r>
        <w:t>If all or a portion of the plans and special provisions are developed in the SI metric system and the schedule of prices is developed in the US standard measure system, the department will pay for the work as bid in the US standard system.</w:t>
      </w:r>
    </w:p>
    <w:p w:rsidR="00323052" w:rsidRDefault="00EB38E2" w:rsidP="0059732A">
      <w:pPr>
        <w:pStyle w:val="spVersion"/>
      </w:pPr>
      <w:r>
        <w:t>100-005 (201</w:t>
      </w:r>
      <w:r w:rsidR="005A7414">
        <w:t>9</w:t>
      </w:r>
      <w:r w:rsidR="004F05C1">
        <w:t>06</w:t>
      </w:r>
      <w:r w:rsidR="004E2D95">
        <w:t>18</w:t>
      </w:r>
      <w:r w:rsidR="00BE2267">
        <w:t>)</w:t>
      </w:r>
    </w:p>
    <w:p w:rsidR="00323052" w:rsidRPr="003A37E8" w:rsidRDefault="00BE2267" w:rsidP="003A37E8">
      <w:pPr>
        <w:pStyle w:val="1Heading1"/>
      </w:pPr>
      <w:bookmarkStart w:id="1" w:name="_Toc20808839"/>
      <w:r w:rsidRPr="003A37E8">
        <w:t>Scope of Work.</w:t>
      </w:r>
      <w:bookmarkEnd w:id="1"/>
    </w:p>
    <w:p w:rsidR="00323052" w:rsidRDefault="00BE2267" w:rsidP="00A57FBE">
      <w:pPr>
        <w:pStyle w:val="spParagraph"/>
      </w:pPr>
      <w:r>
        <w:t xml:space="preserve">The work under this contract shall consist of </w:t>
      </w:r>
      <w:r w:rsidR="005C5BCB">
        <w:t xml:space="preserve">asphalt milling, HMA pavement, pavement marking, centerline rumble strips, culvert </w:t>
      </w:r>
      <w:proofErr w:type="spellStart"/>
      <w:r w:rsidR="005C5BCB">
        <w:t>endwalls</w:t>
      </w:r>
      <w:proofErr w:type="spellEnd"/>
      <w:r w:rsidR="005C5BCB">
        <w:t>,</w:t>
      </w:r>
      <w:r>
        <w:t xml:space="preserve"> and all incidental items necessary to complete the work as shown on the plans and included in the proposal and contract.</w:t>
      </w:r>
    </w:p>
    <w:p w:rsidR="00323052" w:rsidRDefault="00BE2267" w:rsidP="0059732A">
      <w:pPr>
        <w:pStyle w:val="spVersion"/>
      </w:pPr>
      <w:r>
        <w:t>104-005 (20090901)</w:t>
      </w:r>
    </w:p>
    <w:p w:rsidR="00323052" w:rsidRPr="00EA080F" w:rsidRDefault="00BE2267" w:rsidP="00EA080F">
      <w:pPr>
        <w:pStyle w:val="1Heading1"/>
      </w:pPr>
      <w:bookmarkStart w:id="2" w:name="_Toc20808840"/>
      <w:r w:rsidRPr="00EA080F">
        <w:t>Prosecution and Progress.</w:t>
      </w:r>
      <w:bookmarkEnd w:id="2"/>
    </w:p>
    <w:p w:rsidR="0062046A" w:rsidRDefault="00BE2267" w:rsidP="00466B63">
      <w:pPr>
        <w:pStyle w:val="spParagraph"/>
      </w:pPr>
      <w:r w:rsidRPr="00C158F5">
        <w:t>Begin work within ten calendar days after the engineer issues a written notice to do so.</w:t>
      </w:r>
    </w:p>
    <w:p w:rsidR="005C5BCB" w:rsidRDefault="005C5BCB" w:rsidP="00A5691D">
      <w:pPr>
        <w:pStyle w:val="spParagraph"/>
      </w:pPr>
      <w:r>
        <w:t>Provide the time frame for construction of the project within the 2020 construction season to the engineer in writing within a month after executing the contract but at least 14 calendar days before the preconstruction conference. Assure that the time frame is consistent with the contract completion time. Upon approval, the engineer will issue the notice to proceed within ten calendar days before the beginning of the approved time frame.</w:t>
      </w:r>
    </w:p>
    <w:p w:rsidR="005C5BCB" w:rsidRDefault="005C5BCB" w:rsidP="00A5691D">
      <w:pPr>
        <w:pStyle w:val="spParagraph"/>
      </w:pPr>
      <w:r>
        <w:t>To revise the time frame, submit a written request to the engineer at least two weeks before the beginning of the intended time frame. The engineer will approve or deny that request based on the conditions cited in the request and its effect on the department’s scheduled resources.</w:t>
      </w:r>
    </w:p>
    <w:p w:rsidR="005C5BCB" w:rsidRPr="009C412A" w:rsidRDefault="005C5BCB" w:rsidP="005C5BCB">
      <w:pPr>
        <w:spacing w:after="0"/>
        <w:rPr>
          <w:b/>
        </w:rPr>
      </w:pPr>
      <w:r w:rsidRPr="009C412A">
        <w:rPr>
          <w:b/>
        </w:rPr>
        <w:t>Paving Operations</w:t>
      </w:r>
    </w:p>
    <w:p w:rsidR="005C5BCB" w:rsidRDefault="005C5BCB" w:rsidP="005C5BCB">
      <w:pPr>
        <w:spacing w:before="0"/>
      </w:pPr>
      <w:r>
        <w:t>All crack filler remaining after milling must be removed and all cracks larger than 0.5” must be filled prior to paving. This</w:t>
      </w:r>
      <w:r w:rsidR="00C21780">
        <w:t xml:space="preserve"> work</w:t>
      </w:r>
      <w:r>
        <w:t xml:space="preserve"> is incidental to the </w:t>
      </w:r>
      <w:r w:rsidR="00931EC4">
        <w:t>Prepare Foundation for Asphaltic Pavement (Project)</w:t>
      </w:r>
      <w:r w:rsidR="00C21780">
        <w:t xml:space="preserve"> bid</w:t>
      </w:r>
      <w:r w:rsidR="00931EC4">
        <w:t xml:space="preserve"> item</w:t>
      </w:r>
      <w:r>
        <w:t>.</w:t>
      </w:r>
    </w:p>
    <w:p w:rsidR="005C5BCB" w:rsidRDefault="005C5BCB" w:rsidP="005C5BCB">
      <w:pPr>
        <w:spacing w:before="0"/>
      </w:pPr>
      <w:r>
        <w:t>The milled surface must be paved in its entirety within 48 hours.</w:t>
      </w:r>
    </w:p>
    <w:p w:rsidR="005C5BCB" w:rsidRDefault="005C5BCB" w:rsidP="005C5BCB">
      <w:pPr>
        <w:pStyle w:val="spParagraph"/>
      </w:pPr>
      <w:r>
        <w:t>Place Asphaltic Surface Patching before areas are opened up to traffic or when flaggers are present to direct traffic through the work areas.</w:t>
      </w:r>
    </w:p>
    <w:p w:rsidR="005C5BCB" w:rsidRDefault="005C5BCB" w:rsidP="005C5BCB">
      <w:pPr>
        <w:pStyle w:val="1Heading1"/>
        <w:numPr>
          <w:ilvl w:val="0"/>
          <w:numId w:val="1"/>
        </w:numPr>
        <w:ind w:left="0" w:hanging="720"/>
      </w:pPr>
      <w:bookmarkStart w:id="3" w:name="_Toc473727568"/>
      <w:bookmarkStart w:id="4" w:name="_Toc5606279"/>
      <w:bookmarkStart w:id="5" w:name="_Toc20808841"/>
      <w:r>
        <w:t>Traffic.</w:t>
      </w:r>
      <w:bookmarkEnd w:id="3"/>
      <w:bookmarkEnd w:id="4"/>
      <w:bookmarkEnd w:id="5"/>
    </w:p>
    <w:p w:rsidR="005C5BCB" w:rsidRDefault="005C5BCB" w:rsidP="005C5BCB">
      <w:r>
        <w:t>Fixed Message Signs (G20-57) for notifying motorists of road construction shall be in place</w:t>
      </w:r>
      <w:r w:rsidR="00CB1168">
        <w:t xml:space="preserve"> from </w:t>
      </w:r>
      <w:r w:rsidR="00A37D30">
        <w:t>seven</w:t>
      </w:r>
      <w:r w:rsidR="00CB1168">
        <w:t xml:space="preserve"> days prior to construction</w:t>
      </w:r>
      <w:r>
        <w:t xml:space="preserve"> until construction begins.</w:t>
      </w:r>
    </w:p>
    <w:p w:rsidR="005C5BCB" w:rsidRDefault="005C5BCB" w:rsidP="005C5BCB">
      <w:pPr>
        <w:spacing w:before="0"/>
      </w:pPr>
      <w:r>
        <w:t>T</w:t>
      </w:r>
      <w:r w:rsidR="00263E81">
        <w:t>raffic control drop off signing is</w:t>
      </w:r>
      <w:r>
        <w:t xml:space="preserve"> </w:t>
      </w:r>
      <w:r w:rsidR="00A37D30">
        <w:t>included in the</w:t>
      </w:r>
      <w:r>
        <w:t xml:space="preserve"> Traffic Control </w:t>
      </w:r>
      <w:r w:rsidR="00A37D30">
        <w:t>Signs</w:t>
      </w:r>
      <w:r>
        <w:t xml:space="preserve"> bid item.</w:t>
      </w:r>
    </w:p>
    <w:p w:rsidR="005C5BCB" w:rsidRDefault="00A33439" w:rsidP="005C5BCB">
      <w:r>
        <w:t>Restrict traffic</w:t>
      </w:r>
      <w:r w:rsidR="005C5BCB">
        <w:t xml:space="preserve"> to a single lane with flagging operations within the area of construction operations during working hours. Maintain one 12-foot lane at all times in the work zone. </w:t>
      </w:r>
    </w:p>
    <w:p w:rsidR="005C5BCB" w:rsidRDefault="005C5BCB" w:rsidP="005C5BCB">
      <w:r>
        <w:t>If traffic delays become longer than 15 minutes, coordinate with the engineer to limit or alter construction operations to prevent undue inconvenience to the traveling public as specified under standard spec 108.5. The engineer may direct additional action or temporarily suspend work to mitigate recurring delays. The department will not make additional payment or extend contract time for suspensions the engineer directs under this paragraph.</w:t>
      </w:r>
    </w:p>
    <w:p w:rsidR="005C5BCB" w:rsidRDefault="005C5BCB" w:rsidP="005C5BCB">
      <w:r>
        <w:t>Maintain access for emergency vehicles throughout the length of the project at all times.</w:t>
      </w:r>
    </w:p>
    <w:p w:rsidR="00CB1168" w:rsidRDefault="00CB1168" w:rsidP="005C5BCB">
      <w:r>
        <w:t>Maintain access to businesses and residences for the duration of the project.</w:t>
      </w:r>
    </w:p>
    <w:p w:rsidR="00263E81" w:rsidRDefault="00263E81" w:rsidP="005C5BCB"/>
    <w:p w:rsidR="005C5BCB" w:rsidRPr="00BF75B7" w:rsidRDefault="005C5BCB" w:rsidP="005C5BCB">
      <w:pPr>
        <w:pStyle w:val="spParagraph"/>
        <w:rPr>
          <w:rStyle w:val="spHeading"/>
        </w:rPr>
      </w:pPr>
      <w:bookmarkStart w:id="6" w:name="_Toc315851721"/>
      <w:bookmarkStart w:id="7" w:name="_Toc360433559"/>
      <w:r w:rsidRPr="00BF75B7">
        <w:rPr>
          <w:rStyle w:val="spHeading"/>
        </w:rPr>
        <w:lastRenderedPageBreak/>
        <w:t>Wisconsin Lane Closure System Advance Notification</w:t>
      </w:r>
      <w:bookmarkEnd w:id="6"/>
      <w:bookmarkEnd w:id="7"/>
    </w:p>
    <w:p w:rsidR="005C5BCB" w:rsidRDefault="005C5BCB" w:rsidP="005C5BCB">
      <w:pPr>
        <w:pStyle w:val="spParagraph"/>
      </w:pPr>
      <w:r>
        <w:rPr>
          <w:rFonts w:eastAsia="Calibri"/>
          <w:szCs w:val="18"/>
        </w:rPr>
        <w:t>Provide the following advance notification to the engineer for incorporation into the Wisconsin Lane Closure System (LCS).</w:t>
      </w:r>
    </w:p>
    <w:p w:rsidR="005C5BCB" w:rsidRPr="008B58CE" w:rsidRDefault="005C5BCB" w:rsidP="005C5BCB">
      <w:pPr>
        <w:pStyle w:val="spTableTitle"/>
      </w:pPr>
      <w:r w:rsidRPr="008B58CE">
        <w:t xml:space="preserve">TABLE </w:t>
      </w:r>
      <w:r w:rsidRPr="00777825">
        <w:t>108</w:t>
      </w:r>
      <w:r>
        <w:t>-</w:t>
      </w:r>
      <w:r w:rsidRPr="00777825">
        <w:t>1</w:t>
      </w:r>
      <w:r w:rsidRPr="008B58CE">
        <w:t xml:space="preserve"> CLOSURE TYPE AND REQUIRED MINIMUM ADVANCE NOTIFICATION</w:t>
      </w: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144"/>
        <w:gridCol w:w="3420"/>
      </w:tblGrid>
      <w:tr w:rsidR="005C5BCB" w:rsidRPr="00BD4F3E" w:rsidTr="00626176">
        <w:trPr>
          <w:trHeight w:val="206"/>
          <w:jc w:val="center"/>
        </w:trPr>
        <w:tc>
          <w:tcPr>
            <w:tcW w:w="5144" w:type="dxa"/>
            <w:shd w:val="clear" w:color="auto" w:fill="auto"/>
            <w:noWrap/>
            <w:vAlign w:val="bottom"/>
            <w:hideMark/>
          </w:tcPr>
          <w:p w:rsidR="005C5BCB" w:rsidRPr="00BF75B7" w:rsidRDefault="005C5BCB" w:rsidP="00626176">
            <w:pPr>
              <w:pStyle w:val="spTable"/>
              <w:rPr>
                <w:rStyle w:val="spHeading"/>
              </w:rPr>
            </w:pPr>
            <w:r w:rsidRPr="00BF75B7">
              <w:rPr>
                <w:rStyle w:val="spHeading"/>
              </w:rPr>
              <w:t>Closure type with height, weight, or width restrictions (available width, all lanes in one direction &lt; 16’)</w:t>
            </w:r>
          </w:p>
        </w:tc>
        <w:tc>
          <w:tcPr>
            <w:tcW w:w="3420" w:type="dxa"/>
            <w:shd w:val="clear" w:color="auto" w:fill="auto"/>
            <w:noWrap/>
            <w:vAlign w:val="center"/>
            <w:hideMark/>
          </w:tcPr>
          <w:p w:rsidR="005C5BCB" w:rsidRPr="00BF75B7" w:rsidRDefault="005C5BCB" w:rsidP="00626176">
            <w:pPr>
              <w:pStyle w:val="spTable"/>
              <w:rPr>
                <w:rStyle w:val="spHeading"/>
              </w:rPr>
            </w:pPr>
            <w:r w:rsidRPr="00BF75B7">
              <w:rPr>
                <w:rStyle w:val="spHeading"/>
              </w:rPr>
              <w:t>MINIMUM NOTIFICATION</w:t>
            </w:r>
          </w:p>
        </w:tc>
      </w:tr>
      <w:tr w:rsidR="005C5BCB" w:rsidRPr="00BD4F3E" w:rsidTr="00626176">
        <w:trPr>
          <w:trHeight w:val="339"/>
          <w:jc w:val="center"/>
        </w:trPr>
        <w:tc>
          <w:tcPr>
            <w:tcW w:w="5144" w:type="dxa"/>
            <w:shd w:val="clear" w:color="auto" w:fill="auto"/>
            <w:noWrap/>
            <w:vAlign w:val="bottom"/>
            <w:hideMark/>
          </w:tcPr>
          <w:p w:rsidR="005C5BCB" w:rsidRPr="00BD4F3E" w:rsidRDefault="005C5BCB" w:rsidP="00626176">
            <w:pPr>
              <w:pStyle w:val="spTable"/>
            </w:pPr>
            <w:r w:rsidRPr="00BD4F3E">
              <w:t>Lane and shoulder closures</w:t>
            </w:r>
          </w:p>
        </w:tc>
        <w:tc>
          <w:tcPr>
            <w:tcW w:w="3420" w:type="dxa"/>
            <w:shd w:val="clear" w:color="auto" w:fill="auto"/>
            <w:noWrap/>
            <w:vAlign w:val="bottom"/>
            <w:hideMark/>
          </w:tcPr>
          <w:p w:rsidR="005C5BCB" w:rsidRPr="00BD4F3E" w:rsidRDefault="005C5BCB" w:rsidP="00626176">
            <w:pPr>
              <w:pStyle w:val="spTable"/>
            </w:pPr>
            <w:r w:rsidRPr="00BD4F3E">
              <w:t>7 calendar days</w:t>
            </w:r>
          </w:p>
        </w:tc>
      </w:tr>
      <w:tr w:rsidR="005C5BCB" w:rsidRPr="00BD4F3E" w:rsidTr="00626176">
        <w:trPr>
          <w:trHeight w:val="339"/>
          <w:jc w:val="center"/>
        </w:trPr>
        <w:tc>
          <w:tcPr>
            <w:tcW w:w="5144" w:type="dxa"/>
            <w:shd w:val="clear" w:color="auto" w:fill="auto"/>
            <w:noWrap/>
            <w:vAlign w:val="bottom"/>
            <w:hideMark/>
          </w:tcPr>
          <w:p w:rsidR="005C5BCB" w:rsidRPr="00BD4F3E" w:rsidRDefault="005C5BCB" w:rsidP="00626176">
            <w:pPr>
              <w:pStyle w:val="spTable"/>
            </w:pPr>
            <w:r w:rsidRPr="00BD4F3E">
              <w:t>Full roadway closures</w:t>
            </w:r>
          </w:p>
        </w:tc>
        <w:tc>
          <w:tcPr>
            <w:tcW w:w="3420" w:type="dxa"/>
            <w:shd w:val="clear" w:color="auto" w:fill="auto"/>
            <w:noWrap/>
            <w:vAlign w:val="bottom"/>
            <w:hideMark/>
          </w:tcPr>
          <w:p w:rsidR="005C5BCB" w:rsidRPr="00BD4F3E" w:rsidRDefault="005C5BCB" w:rsidP="00626176">
            <w:pPr>
              <w:pStyle w:val="spTable"/>
            </w:pPr>
            <w:r w:rsidRPr="00BD4F3E">
              <w:t>7 calendar days</w:t>
            </w:r>
          </w:p>
        </w:tc>
      </w:tr>
      <w:tr w:rsidR="005C5BCB" w:rsidRPr="00BD4F3E" w:rsidTr="00626176">
        <w:trPr>
          <w:trHeight w:val="339"/>
          <w:jc w:val="center"/>
        </w:trPr>
        <w:tc>
          <w:tcPr>
            <w:tcW w:w="5144" w:type="dxa"/>
            <w:shd w:val="clear" w:color="auto" w:fill="auto"/>
            <w:noWrap/>
            <w:vAlign w:val="bottom"/>
            <w:hideMark/>
          </w:tcPr>
          <w:p w:rsidR="005C5BCB" w:rsidRPr="00BD4F3E" w:rsidRDefault="005C5BCB" w:rsidP="00626176">
            <w:pPr>
              <w:pStyle w:val="spTable"/>
            </w:pPr>
            <w:r w:rsidRPr="00BD4F3E">
              <w:t>Ramp closures</w:t>
            </w:r>
          </w:p>
        </w:tc>
        <w:tc>
          <w:tcPr>
            <w:tcW w:w="3420" w:type="dxa"/>
            <w:shd w:val="clear" w:color="auto" w:fill="auto"/>
            <w:noWrap/>
            <w:vAlign w:val="bottom"/>
            <w:hideMark/>
          </w:tcPr>
          <w:p w:rsidR="005C5BCB" w:rsidRPr="00BD4F3E" w:rsidRDefault="005C5BCB" w:rsidP="00626176">
            <w:pPr>
              <w:pStyle w:val="spTable"/>
            </w:pPr>
            <w:r w:rsidRPr="00BD4F3E">
              <w:t>7 calendar days</w:t>
            </w:r>
          </w:p>
        </w:tc>
      </w:tr>
      <w:tr w:rsidR="005C5BCB" w:rsidRPr="00BD4F3E" w:rsidTr="00626176">
        <w:trPr>
          <w:trHeight w:val="339"/>
          <w:jc w:val="center"/>
        </w:trPr>
        <w:tc>
          <w:tcPr>
            <w:tcW w:w="5144" w:type="dxa"/>
            <w:shd w:val="clear" w:color="auto" w:fill="auto"/>
            <w:noWrap/>
            <w:vAlign w:val="bottom"/>
            <w:hideMark/>
          </w:tcPr>
          <w:p w:rsidR="005C5BCB" w:rsidRPr="00BD4F3E" w:rsidRDefault="005C5BCB" w:rsidP="00626176">
            <w:pPr>
              <w:pStyle w:val="spTable"/>
            </w:pPr>
            <w:r w:rsidRPr="00BD4F3E">
              <w:t>Detours</w:t>
            </w:r>
          </w:p>
        </w:tc>
        <w:tc>
          <w:tcPr>
            <w:tcW w:w="3420" w:type="dxa"/>
            <w:shd w:val="clear" w:color="auto" w:fill="auto"/>
            <w:noWrap/>
            <w:vAlign w:val="bottom"/>
            <w:hideMark/>
          </w:tcPr>
          <w:p w:rsidR="005C5BCB" w:rsidRPr="00BD4F3E" w:rsidRDefault="005C5BCB" w:rsidP="00626176">
            <w:pPr>
              <w:pStyle w:val="spTable"/>
            </w:pPr>
            <w:r w:rsidRPr="00BD4F3E">
              <w:t>7 calendar days</w:t>
            </w:r>
          </w:p>
        </w:tc>
      </w:tr>
      <w:tr w:rsidR="005C5BCB" w:rsidRPr="00BD4F3E" w:rsidTr="00626176">
        <w:trPr>
          <w:trHeight w:val="339"/>
          <w:jc w:val="center"/>
        </w:trPr>
        <w:tc>
          <w:tcPr>
            <w:tcW w:w="5144" w:type="dxa"/>
            <w:shd w:val="clear" w:color="auto" w:fill="auto"/>
            <w:noWrap/>
            <w:vAlign w:val="bottom"/>
            <w:hideMark/>
          </w:tcPr>
          <w:p w:rsidR="005C5BCB" w:rsidRPr="00BF75B7" w:rsidRDefault="005C5BCB" w:rsidP="00626176">
            <w:pPr>
              <w:pStyle w:val="spTable"/>
              <w:rPr>
                <w:rStyle w:val="spHeading"/>
              </w:rPr>
            </w:pPr>
            <w:r w:rsidRPr="00BF75B7">
              <w:rPr>
                <w:rStyle w:val="spHeading"/>
              </w:rPr>
              <w:t>Closure type without height, weight, or width restrictions (available width, all lanes in one direction ≥16’)</w:t>
            </w:r>
          </w:p>
        </w:tc>
        <w:tc>
          <w:tcPr>
            <w:tcW w:w="3420" w:type="dxa"/>
            <w:shd w:val="clear" w:color="auto" w:fill="auto"/>
            <w:noWrap/>
            <w:vAlign w:val="center"/>
            <w:hideMark/>
          </w:tcPr>
          <w:p w:rsidR="005C5BCB" w:rsidRPr="00BF75B7" w:rsidRDefault="005C5BCB" w:rsidP="00626176">
            <w:pPr>
              <w:pStyle w:val="spTable"/>
              <w:rPr>
                <w:rStyle w:val="spHeading"/>
              </w:rPr>
            </w:pPr>
            <w:r w:rsidRPr="00BF75B7">
              <w:rPr>
                <w:rStyle w:val="spHeading"/>
              </w:rPr>
              <w:t>MINIMUM NOTIFICATION</w:t>
            </w:r>
          </w:p>
        </w:tc>
      </w:tr>
      <w:tr w:rsidR="005C5BCB" w:rsidRPr="00BD4F3E" w:rsidTr="00626176">
        <w:trPr>
          <w:trHeight w:val="339"/>
          <w:jc w:val="center"/>
        </w:trPr>
        <w:tc>
          <w:tcPr>
            <w:tcW w:w="5144" w:type="dxa"/>
            <w:shd w:val="clear" w:color="auto" w:fill="auto"/>
            <w:noWrap/>
            <w:vAlign w:val="bottom"/>
            <w:hideMark/>
          </w:tcPr>
          <w:p w:rsidR="005C5BCB" w:rsidRPr="00BD4F3E" w:rsidRDefault="005C5BCB" w:rsidP="00626176">
            <w:pPr>
              <w:pStyle w:val="spTable"/>
            </w:pPr>
            <w:r w:rsidRPr="00BD4F3E">
              <w:t>Lane and shoulder closures</w:t>
            </w:r>
          </w:p>
        </w:tc>
        <w:tc>
          <w:tcPr>
            <w:tcW w:w="3420" w:type="dxa"/>
            <w:shd w:val="clear" w:color="auto" w:fill="auto"/>
            <w:noWrap/>
            <w:vAlign w:val="bottom"/>
            <w:hideMark/>
          </w:tcPr>
          <w:p w:rsidR="005C5BCB" w:rsidRPr="00BD4F3E" w:rsidRDefault="005C5BCB" w:rsidP="00626176">
            <w:pPr>
              <w:pStyle w:val="spTable"/>
            </w:pPr>
            <w:r w:rsidRPr="00BD4F3E">
              <w:t>3 business days</w:t>
            </w:r>
          </w:p>
        </w:tc>
      </w:tr>
      <w:tr w:rsidR="005C5BCB" w:rsidRPr="00BD4F3E" w:rsidTr="00626176">
        <w:trPr>
          <w:trHeight w:val="339"/>
          <w:jc w:val="center"/>
        </w:trPr>
        <w:tc>
          <w:tcPr>
            <w:tcW w:w="5144" w:type="dxa"/>
            <w:shd w:val="clear" w:color="auto" w:fill="auto"/>
            <w:noWrap/>
            <w:vAlign w:val="bottom"/>
            <w:hideMark/>
          </w:tcPr>
          <w:p w:rsidR="005C5BCB" w:rsidRPr="00BD4F3E" w:rsidRDefault="005C5BCB" w:rsidP="00626176">
            <w:pPr>
              <w:pStyle w:val="spTable"/>
            </w:pPr>
            <w:r w:rsidRPr="00BD4F3E">
              <w:t>Ramp closures</w:t>
            </w:r>
          </w:p>
        </w:tc>
        <w:tc>
          <w:tcPr>
            <w:tcW w:w="3420" w:type="dxa"/>
            <w:shd w:val="clear" w:color="auto" w:fill="auto"/>
            <w:noWrap/>
            <w:vAlign w:val="bottom"/>
            <w:hideMark/>
          </w:tcPr>
          <w:p w:rsidR="005C5BCB" w:rsidRPr="00BD4F3E" w:rsidRDefault="005C5BCB" w:rsidP="00626176">
            <w:pPr>
              <w:pStyle w:val="spTable"/>
            </w:pPr>
            <w:r w:rsidRPr="00BD4F3E">
              <w:t>3 business days</w:t>
            </w:r>
          </w:p>
        </w:tc>
      </w:tr>
      <w:tr w:rsidR="005C5BCB" w:rsidRPr="00BD4F3E" w:rsidTr="00626176">
        <w:trPr>
          <w:trHeight w:val="339"/>
          <w:jc w:val="center"/>
        </w:trPr>
        <w:tc>
          <w:tcPr>
            <w:tcW w:w="5144" w:type="dxa"/>
            <w:shd w:val="clear" w:color="auto" w:fill="auto"/>
            <w:noWrap/>
            <w:vAlign w:val="bottom"/>
            <w:hideMark/>
          </w:tcPr>
          <w:p w:rsidR="005C5BCB" w:rsidRPr="00BD4F3E" w:rsidRDefault="005C5BCB" w:rsidP="00626176">
            <w:pPr>
              <w:pStyle w:val="spTable"/>
            </w:pPr>
            <w:r w:rsidRPr="00BD4F3E">
              <w:t>Modifying all closure types</w:t>
            </w:r>
          </w:p>
        </w:tc>
        <w:tc>
          <w:tcPr>
            <w:tcW w:w="3420" w:type="dxa"/>
            <w:shd w:val="clear" w:color="auto" w:fill="auto"/>
            <w:noWrap/>
            <w:vAlign w:val="bottom"/>
            <w:hideMark/>
          </w:tcPr>
          <w:p w:rsidR="005C5BCB" w:rsidRPr="00BD4F3E" w:rsidRDefault="005C5BCB" w:rsidP="00626176">
            <w:pPr>
              <w:pStyle w:val="spTable"/>
            </w:pPr>
            <w:r w:rsidRPr="00BD4F3E">
              <w:t>3 business days</w:t>
            </w:r>
          </w:p>
        </w:tc>
      </w:tr>
    </w:tbl>
    <w:p w:rsidR="005C5BCB" w:rsidRDefault="005C5BCB" w:rsidP="005C5BCB">
      <w:pPr>
        <w:pStyle w:val="spParagraph"/>
      </w:pPr>
      <w:r>
        <w:t>Discuss LCS completion dates and provide changes in the schedule to the engineer at weekly project meetings in order to manage closures nearing their completion date.</w:t>
      </w:r>
    </w:p>
    <w:p w:rsidR="005C5BCB" w:rsidRPr="006F3878" w:rsidRDefault="005C5BCB" w:rsidP="005C5BCB">
      <w:pPr>
        <w:pStyle w:val="1Heading1"/>
        <w:numPr>
          <w:ilvl w:val="0"/>
          <w:numId w:val="1"/>
        </w:numPr>
        <w:ind w:left="0" w:hanging="720"/>
      </w:pPr>
      <w:bookmarkStart w:id="8" w:name="_Toc5606280"/>
      <w:bookmarkStart w:id="9" w:name="_Toc20808842"/>
      <w:r w:rsidRPr="006F3878">
        <w:t>Public Convenience and Safety.</w:t>
      </w:r>
      <w:bookmarkEnd w:id="8"/>
      <w:bookmarkEnd w:id="9"/>
    </w:p>
    <w:p w:rsidR="005C5BCB" w:rsidRPr="00F7178A" w:rsidRDefault="005C5BCB" w:rsidP="005C5BCB">
      <w:pPr>
        <w:pStyle w:val="spParagraph"/>
        <w:rPr>
          <w:i/>
        </w:rPr>
      </w:pPr>
      <w:r w:rsidRPr="00F7178A">
        <w:rPr>
          <w:i/>
        </w:rPr>
        <w:t>Replace standard spec 107.8 (4) with the following:</w:t>
      </w:r>
    </w:p>
    <w:p w:rsidR="005C5BCB" w:rsidRPr="006F3878" w:rsidRDefault="005C5BCB" w:rsidP="005C5BCB">
      <w:pPr>
        <w:pStyle w:val="spParagraph"/>
      </w:pPr>
      <w:r w:rsidRPr="006F3878">
        <w:t>Notify the following organizations and departments at least 2 business days before road closures, lane closures</w:t>
      </w:r>
      <w:r>
        <w:t>,</w:t>
      </w:r>
      <w:r w:rsidRPr="006F3878">
        <w:t xml:space="preserve"> or detours are put into effect:</w:t>
      </w:r>
    </w:p>
    <w:p w:rsidR="005C5BCB" w:rsidRPr="00A42393" w:rsidRDefault="005C5BCB" w:rsidP="005C5BCB">
      <w:pPr>
        <w:pStyle w:val="spSmall"/>
      </w:pPr>
      <w:r>
        <w:t xml:space="preserve">Waupaca </w:t>
      </w:r>
      <w:r w:rsidRPr="00A42393">
        <w:t>County Sheriff’s Department</w:t>
      </w:r>
    </w:p>
    <w:p w:rsidR="005C5BCB" w:rsidRPr="00A42393" w:rsidRDefault="005C5BCB" w:rsidP="005C5BCB">
      <w:pPr>
        <w:pStyle w:val="spSmall"/>
      </w:pPr>
      <w:r w:rsidRPr="00A42393">
        <w:t>Wisconsin State Patrol</w:t>
      </w:r>
    </w:p>
    <w:p w:rsidR="005C5BCB" w:rsidRPr="00A42393" w:rsidRDefault="005C5BCB" w:rsidP="005C5BCB">
      <w:pPr>
        <w:pStyle w:val="spSmall"/>
      </w:pPr>
      <w:r w:rsidRPr="00A42393">
        <w:t xml:space="preserve">Town of </w:t>
      </w:r>
      <w:r>
        <w:t>Royalton</w:t>
      </w:r>
    </w:p>
    <w:p w:rsidR="005C5BCB" w:rsidRDefault="005C5BCB" w:rsidP="005C5BCB">
      <w:pPr>
        <w:pStyle w:val="spSmall"/>
      </w:pPr>
      <w:r>
        <w:t xml:space="preserve">Weyauwega-Fremont </w:t>
      </w:r>
      <w:r w:rsidRPr="00A42393">
        <w:t>School District</w:t>
      </w:r>
    </w:p>
    <w:p w:rsidR="005C5BCB" w:rsidRPr="00A42393" w:rsidRDefault="005C5BCB" w:rsidP="005C5BCB">
      <w:pPr>
        <w:pStyle w:val="spSmall"/>
      </w:pPr>
      <w:r>
        <w:t>Manawa School District</w:t>
      </w:r>
    </w:p>
    <w:p w:rsidR="005C5BCB" w:rsidRDefault="005C5BCB" w:rsidP="005C5BCB">
      <w:pPr>
        <w:pStyle w:val="spSmall"/>
      </w:pPr>
      <w:r>
        <w:t xml:space="preserve">Weyauwega </w:t>
      </w:r>
      <w:r w:rsidRPr="006F3878">
        <w:t>Post Office</w:t>
      </w:r>
    </w:p>
    <w:p w:rsidR="005C5BCB" w:rsidRPr="006F3878" w:rsidRDefault="005C5BCB" w:rsidP="005C5BCB">
      <w:pPr>
        <w:pStyle w:val="spSmall"/>
      </w:pPr>
      <w:r>
        <w:t>Manawa Post Office</w:t>
      </w:r>
    </w:p>
    <w:p w:rsidR="005C5BCB" w:rsidRPr="006F3878" w:rsidRDefault="005C5BCB" w:rsidP="005C5BCB">
      <w:pPr>
        <w:pStyle w:val="spParagraph"/>
      </w:pPr>
      <w:r w:rsidRPr="006F3878">
        <w:t xml:space="preserve">The </w:t>
      </w:r>
      <w:r>
        <w:t xml:space="preserve">Waupaca </w:t>
      </w:r>
      <w:r w:rsidRPr="006F3878">
        <w:t>County Sheriff’s Department 911 dispatches all area police, fire and ambulance services, and will relay any notification given by the contractor.</w:t>
      </w:r>
    </w:p>
    <w:p w:rsidR="005C5BCB" w:rsidRDefault="005C5BCB" w:rsidP="005C5BCB">
      <w:pPr>
        <w:pStyle w:val="spVersion"/>
      </w:pPr>
      <w:proofErr w:type="gramStart"/>
      <w:r>
        <w:t>ncr-107-005</w:t>
      </w:r>
      <w:proofErr w:type="gramEnd"/>
      <w:r>
        <w:t xml:space="preserve"> (20141015)</w:t>
      </w:r>
    </w:p>
    <w:p w:rsidR="006404DE" w:rsidRDefault="006404DE" w:rsidP="006404DE">
      <w:pPr>
        <w:pStyle w:val="1Heading1"/>
      </w:pPr>
      <w:bookmarkStart w:id="10" w:name="_Toc20808843"/>
      <w:bookmarkStart w:id="11" w:name="_Toc5606281"/>
      <w:r>
        <w:t>Other Work.</w:t>
      </w:r>
      <w:bookmarkEnd w:id="10"/>
    </w:p>
    <w:p w:rsidR="006404DE" w:rsidRPr="006404DE" w:rsidRDefault="006404DE" w:rsidP="006F0DFB">
      <w:pPr>
        <w:rPr>
          <w:b/>
        </w:rPr>
      </w:pPr>
      <w:r w:rsidRPr="006404DE">
        <w:t>The following projects are currently scheduled to be constructed during the 2020 construction season:</w:t>
      </w:r>
    </w:p>
    <w:p w:rsidR="006404DE" w:rsidRPr="006F0DFB" w:rsidRDefault="006404DE" w:rsidP="006F0DFB">
      <w:pPr>
        <w:spacing w:before="0" w:after="0"/>
        <w:ind w:left="720"/>
        <w:rPr>
          <w:b/>
        </w:rPr>
      </w:pPr>
      <w:r w:rsidRPr="006F0DFB">
        <w:rPr>
          <w:b/>
        </w:rPr>
        <w:t>6220-02-62</w:t>
      </w:r>
    </w:p>
    <w:p w:rsidR="006404DE" w:rsidRPr="006404DE" w:rsidRDefault="006404DE" w:rsidP="006F0DFB">
      <w:pPr>
        <w:spacing w:before="0" w:after="0"/>
        <w:ind w:left="720"/>
        <w:rPr>
          <w:b/>
        </w:rPr>
      </w:pPr>
      <w:r w:rsidRPr="006404DE">
        <w:t>Waupaca County Bridges B-68-30, 32, 50</w:t>
      </w:r>
    </w:p>
    <w:p w:rsidR="006404DE" w:rsidRPr="006404DE" w:rsidRDefault="006404DE" w:rsidP="006F0DFB">
      <w:pPr>
        <w:spacing w:before="0" w:after="0"/>
        <w:ind w:left="720"/>
        <w:rPr>
          <w:b/>
        </w:rPr>
      </w:pPr>
      <w:r w:rsidRPr="006404DE">
        <w:t>Concrete and polymer overlays</w:t>
      </w:r>
    </w:p>
    <w:p w:rsidR="006404DE" w:rsidRPr="006404DE" w:rsidRDefault="006404DE" w:rsidP="006F0DFB">
      <w:pPr>
        <w:spacing w:before="0"/>
        <w:ind w:left="720"/>
        <w:rPr>
          <w:b/>
        </w:rPr>
      </w:pPr>
      <w:r w:rsidRPr="006404DE">
        <w:t>Current let date: 4/9/2019</w:t>
      </w:r>
    </w:p>
    <w:p w:rsidR="006404DE" w:rsidRPr="006F0DFB" w:rsidRDefault="006404DE" w:rsidP="006F0DFB">
      <w:pPr>
        <w:spacing w:after="0"/>
        <w:ind w:left="720"/>
        <w:rPr>
          <w:b/>
        </w:rPr>
      </w:pPr>
      <w:r w:rsidRPr="006F0DFB">
        <w:rPr>
          <w:b/>
        </w:rPr>
        <w:t>6590-02-75</w:t>
      </w:r>
    </w:p>
    <w:p w:rsidR="006404DE" w:rsidRPr="006404DE" w:rsidRDefault="006404DE" w:rsidP="006F0DFB">
      <w:pPr>
        <w:spacing w:before="0" w:after="0"/>
        <w:ind w:left="720"/>
        <w:rPr>
          <w:b/>
        </w:rPr>
      </w:pPr>
      <w:r w:rsidRPr="006404DE">
        <w:t>STH 22, Waupaca County</w:t>
      </w:r>
    </w:p>
    <w:p w:rsidR="006404DE" w:rsidRPr="006404DE" w:rsidRDefault="006404DE" w:rsidP="006F0DFB">
      <w:pPr>
        <w:spacing w:before="0" w:after="0"/>
        <w:ind w:left="720"/>
        <w:rPr>
          <w:b/>
        </w:rPr>
      </w:pPr>
      <w:r w:rsidRPr="006404DE">
        <w:t xml:space="preserve">WCL RR </w:t>
      </w:r>
      <w:proofErr w:type="gramStart"/>
      <w:r w:rsidRPr="006404DE">
        <w:t>bridge</w:t>
      </w:r>
      <w:proofErr w:type="gramEnd"/>
      <w:r w:rsidRPr="006404DE">
        <w:t xml:space="preserve"> to STH 110 South</w:t>
      </w:r>
    </w:p>
    <w:p w:rsidR="006404DE" w:rsidRPr="006404DE" w:rsidRDefault="006404DE" w:rsidP="006F0DFB">
      <w:pPr>
        <w:spacing w:before="0" w:after="0"/>
        <w:ind w:left="720"/>
        <w:rPr>
          <w:b/>
        </w:rPr>
      </w:pPr>
      <w:r w:rsidRPr="006404DE">
        <w:t>Resurfacing project</w:t>
      </w:r>
    </w:p>
    <w:p w:rsidR="006404DE" w:rsidRPr="006404DE" w:rsidRDefault="006404DE" w:rsidP="006F0DFB">
      <w:pPr>
        <w:spacing w:before="0" w:after="0"/>
        <w:ind w:left="720"/>
        <w:rPr>
          <w:b/>
        </w:rPr>
      </w:pPr>
      <w:r w:rsidRPr="006404DE">
        <w:t>Current let date - 8/13/2019</w:t>
      </w:r>
    </w:p>
    <w:p w:rsidR="006404DE" w:rsidRDefault="006404DE" w:rsidP="006F0DFB">
      <w:r w:rsidRPr="006404DE">
        <w:t xml:space="preserve">Cooperation with this work is required per 105.5.2 Cooperation </w:t>
      </w:r>
      <w:proofErr w:type="gramStart"/>
      <w:r w:rsidRPr="006404DE">
        <w:t>Between</w:t>
      </w:r>
      <w:proofErr w:type="gramEnd"/>
      <w:r w:rsidRPr="006404DE">
        <w:t xml:space="preserve"> Contractors. Coordinate work zone traffic control and work operations as necessary. Modifications to the traffic control plan may be required by the engineer to maintain safety.</w:t>
      </w:r>
    </w:p>
    <w:p w:rsidR="00D954DF" w:rsidRDefault="00D954DF" w:rsidP="006F0DFB"/>
    <w:p w:rsidR="00D954DF" w:rsidRPr="006404DE" w:rsidRDefault="00D954DF" w:rsidP="006F0DFB">
      <w:pPr>
        <w:rPr>
          <w:b/>
        </w:rPr>
      </w:pPr>
    </w:p>
    <w:p w:rsidR="005C5BCB" w:rsidRPr="00B04CCE" w:rsidRDefault="005C5BCB" w:rsidP="005C5BCB">
      <w:pPr>
        <w:pStyle w:val="1Heading1"/>
        <w:numPr>
          <w:ilvl w:val="0"/>
          <w:numId w:val="1"/>
        </w:numPr>
        <w:ind w:left="0" w:hanging="720"/>
      </w:pPr>
      <w:bookmarkStart w:id="12" w:name="_Toc20808844"/>
      <w:r w:rsidRPr="00B04CCE">
        <w:lastRenderedPageBreak/>
        <w:t>Holiday Work Restrictions.</w:t>
      </w:r>
      <w:bookmarkEnd w:id="11"/>
      <w:bookmarkEnd w:id="12"/>
    </w:p>
    <w:p w:rsidR="005C5BCB" w:rsidRDefault="005C5BCB" w:rsidP="005C5BCB">
      <w:pPr>
        <w:pStyle w:val="spParagraph"/>
      </w:pPr>
      <w:r>
        <w:t xml:space="preserve">Do not perform work on, nor haul materials of any kind along or across any portion of the highway carrying STH </w:t>
      </w:r>
      <w:r w:rsidR="00CB1168">
        <w:t>22</w:t>
      </w:r>
      <w:r>
        <w:t xml:space="preserve"> traffic, and entirely clear the traveled way and shoulders of such portions of the highway of equipment, barricades, signs, lights, and any other material that might impede the free flow of traffic during the following holiday periods:</w:t>
      </w:r>
    </w:p>
    <w:p w:rsidR="005C5BCB" w:rsidRPr="00CC60EC" w:rsidRDefault="005C5BCB" w:rsidP="005C5BCB">
      <w:pPr>
        <w:pStyle w:val="spBullet1"/>
      </w:pPr>
      <w:r>
        <w:t>-</w:t>
      </w:r>
      <w:r w:rsidRPr="00CC60EC">
        <w:tab/>
        <w:t>From noon</w:t>
      </w:r>
      <w:r w:rsidR="00931EC4">
        <w:t xml:space="preserve"> Thursday</w:t>
      </w:r>
      <w:r w:rsidRPr="00CC60EC">
        <w:t xml:space="preserve">, </w:t>
      </w:r>
      <w:r>
        <w:t xml:space="preserve">July </w:t>
      </w:r>
      <w:r w:rsidR="00931EC4">
        <w:t>2</w:t>
      </w:r>
      <w:r>
        <w:t>, 2020</w:t>
      </w:r>
      <w:r w:rsidRPr="00CC60EC">
        <w:t xml:space="preserve"> to 6:00 AM </w:t>
      </w:r>
      <w:r>
        <w:t>Monday</w:t>
      </w:r>
      <w:r w:rsidRPr="00CC60EC">
        <w:t xml:space="preserve">, </w:t>
      </w:r>
      <w:r>
        <w:t>July 6, 2020</w:t>
      </w:r>
      <w:r w:rsidR="009C52D5">
        <w:t xml:space="preserve"> for Independence Day</w:t>
      </w:r>
    </w:p>
    <w:p w:rsidR="005C5BCB" w:rsidRPr="00CC60EC" w:rsidRDefault="005C5BCB" w:rsidP="005C5BCB">
      <w:pPr>
        <w:pStyle w:val="spBullet1"/>
      </w:pPr>
      <w:r>
        <w:t>-</w:t>
      </w:r>
      <w:r w:rsidRPr="00CC60EC">
        <w:tab/>
        <w:t xml:space="preserve">From noon Friday, </w:t>
      </w:r>
      <w:r>
        <w:t>September 4, 2020</w:t>
      </w:r>
      <w:r w:rsidRPr="00CC60EC">
        <w:t xml:space="preserve"> to 6:00 AM Tuesday, </w:t>
      </w:r>
      <w:r>
        <w:t>September 8, 2020</w:t>
      </w:r>
      <w:r w:rsidR="009C52D5">
        <w:t xml:space="preserve"> for Labor Day</w:t>
      </w:r>
    </w:p>
    <w:p w:rsidR="005C5BCB" w:rsidRDefault="005C5BCB" w:rsidP="005C5BCB">
      <w:pPr>
        <w:pStyle w:val="spVersion"/>
      </w:pPr>
      <w:proofErr w:type="gramStart"/>
      <w:r>
        <w:t>stp-107-005</w:t>
      </w:r>
      <w:proofErr w:type="gramEnd"/>
      <w:r>
        <w:t xml:space="preserve"> (20050502)</w:t>
      </w:r>
    </w:p>
    <w:p w:rsidR="00FE2D88" w:rsidRDefault="00FE2D88" w:rsidP="00FE2D88">
      <w:pPr>
        <w:pStyle w:val="1Heading1"/>
        <w:numPr>
          <w:ilvl w:val="0"/>
          <w:numId w:val="1"/>
        </w:numPr>
        <w:ind w:left="0" w:hanging="720"/>
      </w:pPr>
      <w:bookmarkStart w:id="13" w:name="_Toc20808845"/>
      <w:r>
        <w:t>Environmental Protection</w:t>
      </w:r>
      <w:bookmarkEnd w:id="13"/>
    </w:p>
    <w:p w:rsidR="00D954DF" w:rsidRDefault="00A37D30" w:rsidP="00FE2D88">
      <w:pPr>
        <w:pStyle w:val="spParagraph"/>
      </w:pPr>
      <w:r>
        <w:t xml:space="preserve">Minimize ground disturbance when replacing concrete </w:t>
      </w:r>
      <w:proofErr w:type="spellStart"/>
      <w:r>
        <w:t>endwalls</w:t>
      </w:r>
      <w:proofErr w:type="spellEnd"/>
      <w:r>
        <w:t xml:space="preserve"> in wetland area. Dispose of any sediment in upland areas</w:t>
      </w:r>
      <w:r w:rsidR="00FE2D88">
        <w:t>.</w:t>
      </w:r>
    </w:p>
    <w:p w:rsidR="005A0815" w:rsidRDefault="005A0815" w:rsidP="005C5BCB">
      <w:pPr>
        <w:pStyle w:val="1Heading1"/>
        <w:numPr>
          <w:ilvl w:val="0"/>
          <w:numId w:val="1"/>
        </w:numPr>
        <w:ind w:left="0" w:hanging="720"/>
      </w:pPr>
      <w:bookmarkStart w:id="14" w:name="_Toc20808846"/>
      <w:bookmarkStart w:id="15" w:name="_Toc5606282"/>
      <w:bookmarkStart w:id="16" w:name="_GoBack"/>
      <w:bookmarkEnd w:id="16"/>
      <w:r>
        <w:t>Environmental Protection – Dewatering</w:t>
      </w:r>
      <w:bookmarkEnd w:id="14"/>
    </w:p>
    <w:p w:rsidR="005A0815" w:rsidRPr="00A1544D" w:rsidRDefault="005A0815" w:rsidP="005A0815">
      <w:r w:rsidRPr="00A1544D">
        <w:t>Add the following to standard spec 107.18:</w:t>
      </w:r>
    </w:p>
    <w:p w:rsidR="005A0815" w:rsidRDefault="005A0815" w:rsidP="005A0815">
      <w:r>
        <w:t>If dewatering is required, treat the water to remove suspended sediments by filtration, settlement or other appropriate best management practice prior to discharge. Submit the proposed means and methods of dewatering for each required location for approval as part of the Erosion Control Implementation Plan (ECIP). Include details of how the intake will be managed to not cause an increase in the background level turbidity prior to treatment and any additional measures necessary to prevent sediments from reaching the project limits or wetlands and waterways.</w:t>
      </w:r>
    </w:p>
    <w:p w:rsidR="005A0815" w:rsidRDefault="005A0815" w:rsidP="005A0815">
      <w:r>
        <w:t xml:space="preserve">Guidance on Dewatering can be found on the Wisconsin Department of Natural Resources website located in the Storm Water Construction Technical Standards, Dewatering Code #1061. This document can be found at the </w:t>
      </w:r>
      <w:proofErr w:type="spellStart"/>
      <w:r>
        <w:t>WisDNR</w:t>
      </w:r>
      <w:proofErr w:type="spellEnd"/>
      <w:r>
        <w:t xml:space="preserve"> website:</w:t>
      </w:r>
    </w:p>
    <w:p w:rsidR="005A0815" w:rsidRDefault="008A15CD" w:rsidP="005A0815">
      <w:hyperlink r:id="rId12" w:history="1">
        <w:r w:rsidR="005A0815" w:rsidRPr="007E450F">
          <w:rPr>
            <w:rStyle w:val="Hyperlink"/>
          </w:rPr>
          <w:t>http://dnr.wi.gov/topic/stormwater/standards/const_standards.html</w:t>
        </w:r>
      </w:hyperlink>
    </w:p>
    <w:p w:rsidR="005A0815" w:rsidRDefault="005A0815" w:rsidP="005A0815">
      <w:r>
        <w:t>Work includes furnishing all materials, excavation, maintenance, cleaning, disposal of surplus material and removal of the dewatering system and is incidental to contract work.</w:t>
      </w:r>
    </w:p>
    <w:p w:rsidR="005A0815" w:rsidRDefault="005A0815" w:rsidP="005A0815">
      <w:proofErr w:type="gramStart"/>
      <w:r>
        <w:t>ncr-107-025</w:t>
      </w:r>
      <w:proofErr w:type="gramEnd"/>
      <w:r>
        <w:t xml:space="preserve"> (20160401)</w:t>
      </w:r>
    </w:p>
    <w:p w:rsidR="005C5BCB" w:rsidRPr="00234DD3" w:rsidRDefault="005C5BCB" w:rsidP="005C5BCB">
      <w:pPr>
        <w:pStyle w:val="1Heading1"/>
        <w:numPr>
          <w:ilvl w:val="0"/>
          <w:numId w:val="1"/>
        </w:numPr>
        <w:ind w:left="0" w:hanging="720"/>
      </w:pPr>
      <w:bookmarkStart w:id="17" w:name="_Toc20808847"/>
      <w:r w:rsidRPr="00234DD3">
        <w:t>Utilities.</w:t>
      </w:r>
      <w:bookmarkEnd w:id="15"/>
      <w:bookmarkEnd w:id="17"/>
    </w:p>
    <w:p w:rsidR="005C5BCB" w:rsidRPr="00234DD3" w:rsidRDefault="005C5BCB" w:rsidP="005C5BCB">
      <w:pPr>
        <w:pStyle w:val="spParagraph"/>
      </w:pPr>
      <w:r w:rsidRPr="00234DD3">
        <w:t>This contract comes under the provision of Administrative Rule Trans 220.</w:t>
      </w:r>
    </w:p>
    <w:p w:rsidR="005C5BCB" w:rsidRDefault="005C5BCB" w:rsidP="005C5BCB">
      <w:pPr>
        <w:pStyle w:val="spVersion"/>
      </w:pPr>
      <w:proofErr w:type="gramStart"/>
      <w:r>
        <w:t>stp-107-065</w:t>
      </w:r>
      <w:proofErr w:type="gramEnd"/>
      <w:r>
        <w:t xml:space="preserve"> (20080501)</w:t>
      </w:r>
    </w:p>
    <w:p w:rsidR="005C5BCB" w:rsidRDefault="005C5BCB" w:rsidP="005C5BCB">
      <w:pPr>
        <w:pStyle w:val="spParagraph"/>
      </w:pPr>
      <w:r>
        <w:t>The following utilities have underground and/or overhead facilities located within the project limits</w:t>
      </w:r>
      <w:r w:rsidRPr="00B675EF">
        <w:t>:</w:t>
      </w:r>
    </w:p>
    <w:p w:rsidR="005C5BCB" w:rsidRPr="00B675EF" w:rsidRDefault="005C5BCB" w:rsidP="005C5BCB">
      <w:pPr>
        <w:pStyle w:val="spParagraph"/>
        <w:ind w:left="720"/>
        <w:rPr>
          <w:b/>
        </w:rPr>
      </w:pPr>
      <w:r w:rsidRPr="00B675EF">
        <w:rPr>
          <w:b/>
        </w:rPr>
        <w:t>CenturyLink (Communication Line)</w:t>
      </w:r>
    </w:p>
    <w:p w:rsidR="005C5BCB" w:rsidRPr="00B675EF" w:rsidRDefault="005C5BCB" w:rsidP="005C5BCB">
      <w:pPr>
        <w:pStyle w:val="spParagraph"/>
        <w:ind w:left="720"/>
      </w:pPr>
      <w:r w:rsidRPr="00B675EF">
        <w:t xml:space="preserve">CenturyLink has underground communication lines along the west side of STH 22 from STH 110S to </w:t>
      </w:r>
      <w:proofErr w:type="spellStart"/>
      <w:r w:rsidRPr="00B675EF">
        <w:t>Bigalke</w:t>
      </w:r>
      <w:proofErr w:type="spellEnd"/>
      <w:r w:rsidRPr="00B675EF">
        <w:t xml:space="preserve"> Road. No conflicts are anticipated.</w:t>
      </w:r>
    </w:p>
    <w:p w:rsidR="005C5BCB" w:rsidRPr="00B675EF" w:rsidRDefault="005C5BCB" w:rsidP="005C5BCB">
      <w:pPr>
        <w:pStyle w:val="spParagraph"/>
        <w:ind w:left="720"/>
        <w:rPr>
          <w:b/>
        </w:rPr>
      </w:pPr>
      <w:proofErr w:type="spellStart"/>
      <w:r w:rsidRPr="00B675EF">
        <w:rPr>
          <w:b/>
        </w:rPr>
        <w:t>Solarus</w:t>
      </w:r>
      <w:proofErr w:type="spellEnd"/>
      <w:r w:rsidRPr="00B675EF">
        <w:rPr>
          <w:b/>
        </w:rPr>
        <w:t xml:space="preserve"> (Communication Line)</w:t>
      </w:r>
    </w:p>
    <w:p w:rsidR="005C5BCB" w:rsidRPr="00B675EF" w:rsidRDefault="005C5BCB" w:rsidP="005C5BCB">
      <w:pPr>
        <w:pStyle w:val="spParagraph"/>
        <w:ind w:left="720"/>
      </w:pPr>
      <w:proofErr w:type="spellStart"/>
      <w:r w:rsidRPr="00B675EF">
        <w:t>Solarus</w:t>
      </w:r>
      <w:proofErr w:type="spellEnd"/>
      <w:r w:rsidRPr="00B675EF">
        <w:t xml:space="preserve"> has </w:t>
      </w:r>
      <w:r>
        <w:t>underground</w:t>
      </w:r>
      <w:r w:rsidRPr="00B675EF">
        <w:t xml:space="preserve"> communication lines along the west side of STH 22 from </w:t>
      </w:r>
      <w:proofErr w:type="spellStart"/>
      <w:r w:rsidRPr="00B675EF">
        <w:t>Bigalke</w:t>
      </w:r>
      <w:proofErr w:type="spellEnd"/>
      <w:r w:rsidRPr="00B675EF">
        <w:t xml:space="preserve"> Road to STH 54E. No conflicts are anticipated.</w:t>
      </w:r>
    </w:p>
    <w:p w:rsidR="005C5BCB" w:rsidRPr="00B675EF" w:rsidRDefault="005C5BCB" w:rsidP="005C5BCB">
      <w:pPr>
        <w:pStyle w:val="spParagraph"/>
        <w:ind w:left="720"/>
        <w:rPr>
          <w:b/>
        </w:rPr>
      </w:pPr>
      <w:r w:rsidRPr="00B675EF">
        <w:rPr>
          <w:b/>
        </w:rPr>
        <w:t>We Energies (Electricity)</w:t>
      </w:r>
    </w:p>
    <w:p w:rsidR="005C5BCB" w:rsidRDefault="005C5BCB" w:rsidP="005C5BCB">
      <w:pPr>
        <w:pStyle w:val="spParagraph"/>
        <w:ind w:left="720"/>
      </w:pPr>
      <w:r w:rsidRPr="00B675EF">
        <w:t xml:space="preserve">We Energies has overhead electric facilities along the west side of STH 22 from STH 110S to </w:t>
      </w:r>
      <w:proofErr w:type="spellStart"/>
      <w:r w:rsidRPr="00B675EF">
        <w:t>Bigalke</w:t>
      </w:r>
      <w:proofErr w:type="spellEnd"/>
      <w:r w:rsidRPr="00B675EF">
        <w:t xml:space="preserve"> Road, along the east side of STH 22 from </w:t>
      </w:r>
      <w:proofErr w:type="spellStart"/>
      <w:r w:rsidRPr="00B675EF">
        <w:t>Bigalke</w:t>
      </w:r>
      <w:proofErr w:type="spellEnd"/>
      <w:r w:rsidRPr="00B675EF">
        <w:t xml:space="preserve"> Road to just south of STH 54E, and along the west side of STH 22 from just south of STH 54E to the end of the project. There are also isolated crossings for individual service connections. No conflicts are anticipated.</w:t>
      </w:r>
    </w:p>
    <w:p w:rsidR="005C5BCB" w:rsidRDefault="005C5BCB" w:rsidP="005C5BCB">
      <w:r w:rsidRPr="007B5837">
        <w:t>Coordinate construction activities with a call to Diggers Hotline or a direct call to the utilities for the underground facilities in the area, as required per state statutes. Use caution to maintain the integrity of utilities. Coordinate with the engineer to adjust plans as needed to avoid any unanticipated utility conflicts</w:t>
      </w:r>
      <w:r>
        <w:t>.</w:t>
      </w:r>
    </w:p>
    <w:p w:rsidR="00D954DF" w:rsidRDefault="00D954DF" w:rsidP="005C5BCB"/>
    <w:p w:rsidR="005C5BCB" w:rsidRDefault="005C5BCB" w:rsidP="005C5BCB">
      <w:pPr>
        <w:pStyle w:val="1Heading1"/>
        <w:numPr>
          <w:ilvl w:val="0"/>
          <w:numId w:val="1"/>
        </w:numPr>
        <w:ind w:left="0" w:hanging="720"/>
      </w:pPr>
      <w:bookmarkStart w:id="18" w:name="_Toc5606284"/>
      <w:bookmarkStart w:id="19" w:name="_Toc20808848"/>
      <w:r>
        <w:t>Traffic Control.</w:t>
      </w:r>
      <w:bookmarkEnd w:id="18"/>
      <w:bookmarkEnd w:id="19"/>
    </w:p>
    <w:p w:rsidR="00FE1489" w:rsidRPr="00FE1489" w:rsidRDefault="00FE1489" w:rsidP="00FE1489">
      <w:bookmarkStart w:id="20" w:name="_Toc473727580"/>
      <w:bookmarkStart w:id="21" w:name="_Toc5606285"/>
      <w:bookmarkStart w:id="22" w:name="_Toc20808850"/>
      <w:r w:rsidRPr="00FE1489">
        <w:lastRenderedPageBreak/>
        <w:t>Add the following to standard spec 643.3.1:</w:t>
      </w:r>
    </w:p>
    <w:p w:rsidR="00FE1489" w:rsidRPr="00FE1489" w:rsidRDefault="00FE1489" w:rsidP="00FE1489">
      <w:r w:rsidRPr="00FE1489">
        <w:t>Lighting devices shall be covered or rendered inoperative when not in use.</w:t>
      </w:r>
    </w:p>
    <w:p w:rsidR="00FE1489" w:rsidRPr="00FE1489" w:rsidRDefault="00FE1489" w:rsidP="00FE1489">
      <w:r w:rsidRPr="00FE1489">
        <w:t>Provide the engineer and law enforcement (police, sheriff and State Patrol) the current telephone number(s) that the contractor, or their representative, can be contacted at, at all times, in the event a safety hazard develops. Repair, replace, or restore the damaged or disturbed traffic control devices within two hours from the time notified or made aware of the damaged or disturbed traffic control devices.</w:t>
      </w:r>
    </w:p>
    <w:p w:rsidR="00FE1489" w:rsidRPr="00FE1489" w:rsidRDefault="00FE1489" w:rsidP="00FE1489">
      <w:r w:rsidRPr="00FE1489">
        <w:t>Promptly replace all state-owned signs that are removed by the contractor due to interference with construction operations. At no time may stop signs be removed or moved without flag persons present.</w:t>
      </w:r>
    </w:p>
    <w:p w:rsidR="00FE1489" w:rsidRPr="00FE1489" w:rsidRDefault="00FE1489" w:rsidP="00FE1489">
      <w:r w:rsidRPr="00FE1489">
        <w:br/>
        <w:t>Add the following to standard spec 104.6.1.2.2:</w:t>
      </w:r>
    </w:p>
    <w:p w:rsidR="00FE1489" w:rsidRPr="00FE1489" w:rsidRDefault="00FE1489" w:rsidP="00FE1489">
      <w:r w:rsidRPr="00FE1489">
        <w:t>Provide a dedicated person or alternate method to guide traffic travelling alongside or near moving operations such as milling, paving, and shouldering.</w:t>
      </w:r>
    </w:p>
    <w:p w:rsidR="00FE1489" w:rsidRPr="00FE1489" w:rsidRDefault="00FE1489" w:rsidP="00FE1489">
      <w:proofErr w:type="gramStart"/>
      <w:r w:rsidRPr="00FE1489">
        <w:t>ncr-643-005</w:t>
      </w:r>
      <w:proofErr w:type="gramEnd"/>
      <w:r w:rsidRPr="00FE1489">
        <w:t xml:space="preserve"> (20190703)</w:t>
      </w:r>
    </w:p>
    <w:p w:rsidR="005C5BCB" w:rsidRDefault="005C5BCB" w:rsidP="005C5BCB">
      <w:pPr>
        <w:pStyle w:val="1Heading1"/>
        <w:keepNext/>
        <w:numPr>
          <w:ilvl w:val="0"/>
          <w:numId w:val="1"/>
        </w:numPr>
        <w:tabs>
          <w:tab w:val="center" w:pos="4680"/>
          <w:tab w:val="right" w:pos="9270"/>
        </w:tabs>
        <w:spacing w:after="240"/>
        <w:ind w:left="0" w:hanging="720"/>
      </w:pPr>
      <w:r>
        <w:t>Removing Distressed Pavement Milling, Item SPV.0180.01.</w:t>
      </w:r>
      <w:bookmarkEnd w:id="20"/>
      <w:bookmarkEnd w:id="21"/>
      <w:bookmarkEnd w:id="22"/>
    </w:p>
    <w:p w:rsidR="005C5BCB" w:rsidRPr="00006E3C" w:rsidRDefault="005C5BCB" w:rsidP="005C5BCB">
      <w:pPr>
        <w:keepNext/>
        <w:tabs>
          <w:tab w:val="left" w:pos="270"/>
        </w:tabs>
        <w:rPr>
          <w:b/>
        </w:rPr>
      </w:pPr>
      <w:r w:rsidRPr="00006E3C">
        <w:rPr>
          <w:b/>
        </w:rPr>
        <w:t>A</w:t>
      </w:r>
      <w:r w:rsidRPr="00006E3C">
        <w:rPr>
          <w:b/>
        </w:rPr>
        <w:tab/>
        <w:t>Description</w:t>
      </w:r>
    </w:p>
    <w:p w:rsidR="005C5BCB" w:rsidRDefault="005C5BCB" w:rsidP="005C5BCB">
      <w:pPr>
        <w:keepNext/>
        <w:tabs>
          <w:tab w:val="left" w:pos="1080"/>
        </w:tabs>
      </w:pPr>
      <w:r>
        <w:t>This special provision describes milling additional asphaltic pavement when the pavement condition warrants it. This will be completed in spot locations throughout the project as directed by the engineer.</w:t>
      </w:r>
    </w:p>
    <w:p w:rsidR="005C5BCB" w:rsidRPr="00006E3C" w:rsidRDefault="005C5BCB" w:rsidP="005C5BCB">
      <w:pPr>
        <w:tabs>
          <w:tab w:val="left" w:pos="270"/>
          <w:tab w:val="left" w:pos="1080"/>
        </w:tabs>
        <w:rPr>
          <w:b/>
        </w:rPr>
      </w:pPr>
      <w:r w:rsidRPr="00006E3C">
        <w:rPr>
          <w:b/>
        </w:rPr>
        <w:t>B</w:t>
      </w:r>
      <w:r w:rsidRPr="00006E3C">
        <w:rPr>
          <w:b/>
        </w:rPr>
        <w:tab/>
        <w:t>(Vacant)</w:t>
      </w:r>
    </w:p>
    <w:p w:rsidR="005C5BCB" w:rsidRPr="00006E3C" w:rsidRDefault="005C5BCB" w:rsidP="005C5BCB">
      <w:pPr>
        <w:tabs>
          <w:tab w:val="left" w:pos="270"/>
          <w:tab w:val="left" w:pos="1080"/>
        </w:tabs>
        <w:rPr>
          <w:b/>
        </w:rPr>
      </w:pPr>
      <w:r w:rsidRPr="00006E3C">
        <w:rPr>
          <w:b/>
        </w:rPr>
        <w:t>C</w:t>
      </w:r>
      <w:r w:rsidRPr="00006E3C">
        <w:rPr>
          <w:b/>
        </w:rPr>
        <w:tab/>
        <w:t>Construction</w:t>
      </w:r>
    </w:p>
    <w:p w:rsidR="005C5BCB" w:rsidRPr="00006E3C" w:rsidRDefault="005C5BCB" w:rsidP="005C5BCB">
      <w:pPr>
        <w:tabs>
          <w:tab w:val="left" w:pos="1080"/>
        </w:tabs>
        <w:rPr>
          <w:b/>
        </w:rPr>
      </w:pPr>
      <w:proofErr w:type="gramStart"/>
      <w:r w:rsidRPr="00006E3C">
        <w:rPr>
          <w:b/>
        </w:rPr>
        <w:t>C.1  Milling</w:t>
      </w:r>
      <w:proofErr w:type="gramEnd"/>
    </w:p>
    <w:p w:rsidR="005C5BCB" w:rsidRDefault="005C5BCB" w:rsidP="005C5BCB">
      <w:pPr>
        <w:tabs>
          <w:tab w:val="left" w:pos="1080"/>
        </w:tabs>
      </w:pPr>
      <w:r>
        <w:t xml:space="preserve">Mill a minimum 4-foot by 8-foot are to encompass distressed pavement in accordance with section 204. </w:t>
      </w:r>
    </w:p>
    <w:p w:rsidR="005C5BCB" w:rsidRPr="00006E3C" w:rsidRDefault="005C5BCB" w:rsidP="005C5BCB">
      <w:pPr>
        <w:tabs>
          <w:tab w:val="left" w:pos="360"/>
        </w:tabs>
        <w:rPr>
          <w:b/>
        </w:rPr>
      </w:pPr>
      <w:r w:rsidRPr="00006E3C">
        <w:rPr>
          <w:b/>
        </w:rPr>
        <w:t>D</w:t>
      </w:r>
      <w:r w:rsidRPr="00006E3C">
        <w:rPr>
          <w:b/>
        </w:rPr>
        <w:tab/>
        <w:t>Measurement</w:t>
      </w:r>
    </w:p>
    <w:p w:rsidR="005C5BCB" w:rsidRDefault="005C5BCB" w:rsidP="005C5BCB">
      <w:pPr>
        <w:tabs>
          <w:tab w:val="left" w:pos="1080"/>
        </w:tabs>
      </w:pPr>
      <w:r>
        <w:t>The department will measure Removing Distressed Pavement Milling by the square yard, acceptably completed.</w:t>
      </w:r>
    </w:p>
    <w:p w:rsidR="005C5BCB" w:rsidRPr="00006E3C" w:rsidRDefault="005C5BCB" w:rsidP="005C5BCB">
      <w:pPr>
        <w:tabs>
          <w:tab w:val="left" w:pos="360"/>
        </w:tabs>
        <w:rPr>
          <w:b/>
        </w:rPr>
      </w:pPr>
      <w:r w:rsidRPr="00006E3C">
        <w:rPr>
          <w:b/>
        </w:rPr>
        <w:t>E</w:t>
      </w:r>
      <w:r w:rsidRPr="00006E3C">
        <w:rPr>
          <w:b/>
        </w:rPr>
        <w:tab/>
        <w:t>Payment</w:t>
      </w:r>
    </w:p>
    <w:p w:rsidR="005C5BCB" w:rsidRDefault="005C5BCB" w:rsidP="005C5BCB">
      <w:pPr>
        <w:tabs>
          <w:tab w:val="left" w:pos="1080"/>
        </w:tabs>
      </w:pPr>
      <w:r>
        <w:t>The department will pay for measured quantities at the contract unit price under the following bid item:</w:t>
      </w:r>
    </w:p>
    <w:p w:rsidR="005C5BCB" w:rsidRDefault="005C5BCB" w:rsidP="005C5BCB">
      <w:pPr>
        <w:tabs>
          <w:tab w:val="left" w:pos="1080"/>
        </w:tabs>
      </w:pPr>
      <w:r>
        <w:t>ITEM NUMBER</w:t>
      </w:r>
      <w:r>
        <w:tab/>
      </w:r>
      <w:r>
        <w:tab/>
        <w:t>DESCRIPTION</w:t>
      </w:r>
      <w:r>
        <w:tab/>
      </w:r>
      <w:r>
        <w:tab/>
      </w:r>
      <w:r>
        <w:tab/>
      </w:r>
      <w:r>
        <w:tab/>
      </w:r>
      <w:r>
        <w:tab/>
        <w:t>UNIT</w:t>
      </w:r>
    </w:p>
    <w:p w:rsidR="005C5BCB" w:rsidRDefault="005C5BCB" w:rsidP="005C5BCB">
      <w:pPr>
        <w:tabs>
          <w:tab w:val="left" w:pos="1080"/>
        </w:tabs>
      </w:pPr>
      <w:r>
        <w:t>SPV.0180.01</w:t>
      </w:r>
      <w:r>
        <w:tab/>
      </w:r>
      <w:r>
        <w:tab/>
        <w:t>Removing Distressed Pavement Milling</w:t>
      </w:r>
      <w:r>
        <w:tab/>
      </w:r>
      <w:r>
        <w:tab/>
        <w:t>SY</w:t>
      </w:r>
    </w:p>
    <w:p w:rsidR="005C5BCB" w:rsidRDefault="005C5BCB" w:rsidP="005C5BCB">
      <w:pPr>
        <w:pStyle w:val="spParagraph"/>
      </w:pPr>
      <w:r>
        <w:t>Payment is full compensation for removing the asphaltic surface; cleaning the milled surface; properly disposing of all materials.</w:t>
      </w:r>
    </w:p>
    <w:p w:rsidR="005C5BCB" w:rsidRDefault="005C5BCB" w:rsidP="00466B63">
      <w:pPr>
        <w:pStyle w:val="spParagraph"/>
      </w:pPr>
    </w:p>
    <w:p w:rsidR="005C5BCB" w:rsidRDefault="005C5BCB" w:rsidP="00466B63">
      <w:pPr>
        <w:pStyle w:val="spParagraph"/>
      </w:pPr>
    </w:p>
    <w:p w:rsidR="0094611D" w:rsidRDefault="0094611D" w:rsidP="00466B63">
      <w:pPr>
        <w:pStyle w:val="spParagraph"/>
      </w:pPr>
    </w:p>
    <w:sectPr w:rsidR="0094611D" w:rsidSect="00D954DF">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DFB" w:rsidRDefault="006F0DFB">
      <w:r>
        <w:separator/>
      </w:r>
    </w:p>
    <w:p w:rsidR="006F0DFB" w:rsidRDefault="006F0DFB"/>
    <w:p w:rsidR="006F0DFB" w:rsidRDefault="006F0DFB"/>
    <w:p w:rsidR="006F0DFB" w:rsidRDefault="006F0DFB"/>
    <w:p w:rsidR="006F0DFB" w:rsidRDefault="006F0DFB"/>
    <w:p w:rsidR="006F0DFB" w:rsidRDefault="006F0DFB"/>
    <w:p w:rsidR="006F0DFB" w:rsidRDefault="006F0DFB"/>
    <w:p w:rsidR="006F0DFB" w:rsidRDefault="006F0DFB"/>
    <w:p w:rsidR="006F0DFB" w:rsidRDefault="006F0DFB"/>
  </w:endnote>
  <w:endnote w:type="continuationSeparator" w:id="0">
    <w:p w:rsidR="006F0DFB" w:rsidRDefault="006F0DFB">
      <w:r>
        <w:continuationSeparator/>
      </w:r>
    </w:p>
    <w:p w:rsidR="006F0DFB" w:rsidRDefault="006F0DFB"/>
    <w:p w:rsidR="006F0DFB" w:rsidRDefault="006F0DFB"/>
    <w:p w:rsidR="006F0DFB" w:rsidRDefault="006F0DFB"/>
    <w:p w:rsidR="006F0DFB" w:rsidRDefault="006F0DFB"/>
    <w:p w:rsidR="006F0DFB" w:rsidRDefault="006F0DFB"/>
    <w:p w:rsidR="006F0DFB" w:rsidRDefault="006F0DFB"/>
    <w:p w:rsidR="006F0DFB" w:rsidRDefault="006F0DFB"/>
    <w:p w:rsidR="006F0DFB" w:rsidRDefault="006F0DFB"/>
  </w:endnote>
  <w:endnote w:type="continuationNotice" w:id="1">
    <w:p w:rsidR="006F0DFB" w:rsidRDefault="006F0DFB"/>
    <w:p w:rsidR="006F0DFB" w:rsidRDefault="006F0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464" w:rsidRDefault="008A15CD" w:rsidP="00C75171">
    <w:pPr>
      <w:pStyle w:val="Footer"/>
      <w:tabs>
        <w:tab w:val="clear" w:pos="4680"/>
      </w:tabs>
    </w:pPr>
    <w:sdt>
      <w:sdtPr>
        <w:id w:val="1314444106"/>
      </w:sdtPr>
      <w:sdtEndPr/>
      <w:sdtContent>
        <w:r w:rsidR="005C5BCB">
          <w:t>6220-00-72</w:t>
        </w:r>
      </w:sdtContent>
    </w:sdt>
    <w:r w:rsidR="004C6464">
      <w:tab/>
    </w:r>
    <w:sdt>
      <w:sdtPr>
        <w:id w:val="1636681751"/>
        <w:docPartObj>
          <w:docPartGallery w:val="Page Numbers (Top of Page)"/>
          <w:docPartUnique/>
        </w:docPartObj>
      </w:sdtPr>
      <w:sdtEndPr/>
      <w:sdtContent>
        <w:r w:rsidR="004C6464">
          <w:fldChar w:fldCharType="begin"/>
        </w:r>
        <w:r w:rsidR="004C6464">
          <w:instrText xml:space="preserve"> PAGE </w:instrText>
        </w:r>
        <w:r w:rsidR="004C6464">
          <w:fldChar w:fldCharType="separate"/>
        </w:r>
        <w:r>
          <w:rPr>
            <w:noProof/>
          </w:rPr>
          <w:t>4</w:t>
        </w:r>
        <w:r w:rsidR="004C6464">
          <w:rPr>
            <w:noProof/>
          </w:rPr>
          <w:fldChar w:fldCharType="end"/>
        </w:r>
        <w:r w:rsidR="004C6464">
          <w:t xml:space="preserve"> of </w:t>
        </w:r>
        <w:fldSimple w:instr=" NUMPAGES  ">
          <w:r>
            <w:rPr>
              <w:noProof/>
            </w:rPr>
            <w:t>5</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DFB" w:rsidRDefault="006F0DFB">
      <w:r>
        <w:separator/>
      </w:r>
    </w:p>
    <w:p w:rsidR="006F0DFB" w:rsidRDefault="006F0DFB"/>
    <w:p w:rsidR="006F0DFB" w:rsidRDefault="006F0DFB"/>
    <w:p w:rsidR="006F0DFB" w:rsidRDefault="006F0DFB"/>
    <w:p w:rsidR="006F0DFB" w:rsidRDefault="006F0DFB"/>
    <w:p w:rsidR="006F0DFB" w:rsidRDefault="006F0DFB"/>
    <w:p w:rsidR="006F0DFB" w:rsidRDefault="006F0DFB"/>
    <w:p w:rsidR="006F0DFB" w:rsidRDefault="006F0DFB"/>
    <w:p w:rsidR="006F0DFB" w:rsidRDefault="006F0DFB"/>
  </w:footnote>
  <w:footnote w:type="continuationSeparator" w:id="0">
    <w:p w:rsidR="006F0DFB" w:rsidRDefault="006F0DFB">
      <w:r>
        <w:continuationSeparator/>
      </w:r>
    </w:p>
    <w:p w:rsidR="006F0DFB" w:rsidRDefault="006F0DFB"/>
    <w:p w:rsidR="006F0DFB" w:rsidRDefault="006F0DFB"/>
    <w:p w:rsidR="006F0DFB" w:rsidRDefault="006F0DFB"/>
    <w:p w:rsidR="006F0DFB" w:rsidRDefault="006F0DFB"/>
    <w:p w:rsidR="006F0DFB" w:rsidRDefault="006F0DFB"/>
    <w:p w:rsidR="006F0DFB" w:rsidRDefault="006F0DFB"/>
    <w:p w:rsidR="006F0DFB" w:rsidRDefault="006F0DFB"/>
    <w:p w:rsidR="006F0DFB" w:rsidRDefault="006F0DFB"/>
  </w:footnote>
  <w:footnote w:type="continuationNotice" w:id="1">
    <w:p w:rsidR="006F0DFB" w:rsidRDefault="006F0DFB"/>
    <w:p w:rsidR="006F0DFB" w:rsidRDefault="006F0DF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DFB"/>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2D55"/>
    <w:rsid w:val="00083103"/>
    <w:rsid w:val="00085D86"/>
    <w:rsid w:val="00093EE3"/>
    <w:rsid w:val="000A0D02"/>
    <w:rsid w:val="000A47BF"/>
    <w:rsid w:val="000B1658"/>
    <w:rsid w:val="000B29D1"/>
    <w:rsid w:val="000B2D96"/>
    <w:rsid w:val="000B6EC1"/>
    <w:rsid w:val="000B77FC"/>
    <w:rsid w:val="000B780E"/>
    <w:rsid w:val="000B7F6B"/>
    <w:rsid w:val="000C32DA"/>
    <w:rsid w:val="000C6D36"/>
    <w:rsid w:val="000D4880"/>
    <w:rsid w:val="000D4996"/>
    <w:rsid w:val="000D5560"/>
    <w:rsid w:val="000D5BC0"/>
    <w:rsid w:val="000E37E9"/>
    <w:rsid w:val="00100222"/>
    <w:rsid w:val="00101FA4"/>
    <w:rsid w:val="00102FF2"/>
    <w:rsid w:val="00103A73"/>
    <w:rsid w:val="0011221F"/>
    <w:rsid w:val="00112482"/>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285"/>
    <w:rsid w:val="001B0816"/>
    <w:rsid w:val="001B0FF5"/>
    <w:rsid w:val="001B20FA"/>
    <w:rsid w:val="001B49B0"/>
    <w:rsid w:val="001B59AC"/>
    <w:rsid w:val="001B5A2E"/>
    <w:rsid w:val="001B79E4"/>
    <w:rsid w:val="001C4CCC"/>
    <w:rsid w:val="001C576D"/>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3E81"/>
    <w:rsid w:val="00265243"/>
    <w:rsid w:val="00265AED"/>
    <w:rsid w:val="00267E55"/>
    <w:rsid w:val="00275B6C"/>
    <w:rsid w:val="002814F0"/>
    <w:rsid w:val="00281623"/>
    <w:rsid w:val="0028213F"/>
    <w:rsid w:val="00286731"/>
    <w:rsid w:val="002877A8"/>
    <w:rsid w:val="002A0473"/>
    <w:rsid w:val="002A3078"/>
    <w:rsid w:val="002A3E7E"/>
    <w:rsid w:val="002A6E3F"/>
    <w:rsid w:val="002B371C"/>
    <w:rsid w:val="002B4A57"/>
    <w:rsid w:val="002B7D6B"/>
    <w:rsid w:val="002C4750"/>
    <w:rsid w:val="002C4A81"/>
    <w:rsid w:val="002D0B91"/>
    <w:rsid w:val="002D3444"/>
    <w:rsid w:val="002D387A"/>
    <w:rsid w:val="002D55FE"/>
    <w:rsid w:val="002D61F0"/>
    <w:rsid w:val="002E2855"/>
    <w:rsid w:val="002F116F"/>
    <w:rsid w:val="002F1881"/>
    <w:rsid w:val="002F59DD"/>
    <w:rsid w:val="002F7F32"/>
    <w:rsid w:val="00300A79"/>
    <w:rsid w:val="00305CFD"/>
    <w:rsid w:val="00314F91"/>
    <w:rsid w:val="003153F7"/>
    <w:rsid w:val="00316E79"/>
    <w:rsid w:val="0032097E"/>
    <w:rsid w:val="00323052"/>
    <w:rsid w:val="003301F3"/>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3C00"/>
    <w:rsid w:val="003A444B"/>
    <w:rsid w:val="003A5CD0"/>
    <w:rsid w:val="003B065A"/>
    <w:rsid w:val="003B4868"/>
    <w:rsid w:val="003C4724"/>
    <w:rsid w:val="003C5754"/>
    <w:rsid w:val="003D1F52"/>
    <w:rsid w:val="003D3B59"/>
    <w:rsid w:val="003D7523"/>
    <w:rsid w:val="003E24AE"/>
    <w:rsid w:val="003E3C01"/>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B63"/>
    <w:rsid w:val="00466D84"/>
    <w:rsid w:val="004723BE"/>
    <w:rsid w:val="004765F9"/>
    <w:rsid w:val="0047773E"/>
    <w:rsid w:val="00477CD1"/>
    <w:rsid w:val="00477D62"/>
    <w:rsid w:val="00482102"/>
    <w:rsid w:val="00493163"/>
    <w:rsid w:val="00493D46"/>
    <w:rsid w:val="004A043B"/>
    <w:rsid w:val="004A05C1"/>
    <w:rsid w:val="004A1944"/>
    <w:rsid w:val="004A55C7"/>
    <w:rsid w:val="004B0B01"/>
    <w:rsid w:val="004B3AD4"/>
    <w:rsid w:val="004B4348"/>
    <w:rsid w:val="004B5A72"/>
    <w:rsid w:val="004B5AB3"/>
    <w:rsid w:val="004B5EFF"/>
    <w:rsid w:val="004C162A"/>
    <w:rsid w:val="004C17A7"/>
    <w:rsid w:val="004C4581"/>
    <w:rsid w:val="004C55EC"/>
    <w:rsid w:val="004C587B"/>
    <w:rsid w:val="004C6142"/>
    <w:rsid w:val="004C6464"/>
    <w:rsid w:val="004C73B4"/>
    <w:rsid w:val="004D12AF"/>
    <w:rsid w:val="004D378F"/>
    <w:rsid w:val="004D5797"/>
    <w:rsid w:val="004D5961"/>
    <w:rsid w:val="004D5E39"/>
    <w:rsid w:val="004D6268"/>
    <w:rsid w:val="004E1E66"/>
    <w:rsid w:val="004E2D95"/>
    <w:rsid w:val="004E4791"/>
    <w:rsid w:val="004E4B14"/>
    <w:rsid w:val="004E4D93"/>
    <w:rsid w:val="004E5391"/>
    <w:rsid w:val="004E569B"/>
    <w:rsid w:val="004E6702"/>
    <w:rsid w:val="004F05C1"/>
    <w:rsid w:val="004F1731"/>
    <w:rsid w:val="004F3006"/>
    <w:rsid w:val="004F51B0"/>
    <w:rsid w:val="004F55EB"/>
    <w:rsid w:val="004F58CE"/>
    <w:rsid w:val="00505E08"/>
    <w:rsid w:val="0050617B"/>
    <w:rsid w:val="00513E13"/>
    <w:rsid w:val="00521054"/>
    <w:rsid w:val="00521939"/>
    <w:rsid w:val="00525EFC"/>
    <w:rsid w:val="00527E92"/>
    <w:rsid w:val="00537E51"/>
    <w:rsid w:val="00542140"/>
    <w:rsid w:val="00546295"/>
    <w:rsid w:val="00546FB9"/>
    <w:rsid w:val="00554081"/>
    <w:rsid w:val="00555A70"/>
    <w:rsid w:val="005613B9"/>
    <w:rsid w:val="00562C78"/>
    <w:rsid w:val="005669B8"/>
    <w:rsid w:val="00567B40"/>
    <w:rsid w:val="00572DE8"/>
    <w:rsid w:val="00572F9A"/>
    <w:rsid w:val="005810E3"/>
    <w:rsid w:val="005811F8"/>
    <w:rsid w:val="00582C58"/>
    <w:rsid w:val="00587136"/>
    <w:rsid w:val="005937EC"/>
    <w:rsid w:val="00593FB8"/>
    <w:rsid w:val="005955FE"/>
    <w:rsid w:val="0059627D"/>
    <w:rsid w:val="0059732A"/>
    <w:rsid w:val="005A0815"/>
    <w:rsid w:val="005A6128"/>
    <w:rsid w:val="005A7414"/>
    <w:rsid w:val="005B0B8B"/>
    <w:rsid w:val="005B3261"/>
    <w:rsid w:val="005B3656"/>
    <w:rsid w:val="005C0491"/>
    <w:rsid w:val="005C3B38"/>
    <w:rsid w:val="005C52CA"/>
    <w:rsid w:val="005C5BCB"/>
    <w:rsid w:val="005D0ED0"/>
    <w:rsid w:val="005D1F23"/>
    <w:rsid w:val="005E7933"/>
    <w:rsid w:val="005F304B"/>
    <w:rsid w:val="005F52FC"/>
    <w:rsid w:val="005F78B5"/>
    <w:rsid w:val="005F7A24"/>
    <w:rsid w:val="00602515"/>
    <w:rsid w:val="00604E74"/>
    <w:rsid w:val="00610890"/>
    <w:rsid w:val="006177B3"/>
    <w:rsid w:val="00620206"/>
    <w:rsid w:val="0062046A"/>
    <w:rsid w:val="00627AB0"/>
    <w:rsid w:val="0063287E"/>
    <w:rsid w:val="006336E0"/>
    <w:rsid w:val="006404DE"/>
    <w:rsid w:val="00640EFE"/>
    <w:rsid w:val="0064764C"/>
    <w:rsid w:val="006502CD"/>
    <w:rsid w:val="00652620"/>
    <w:rsid w:val="00656CEA"/>
    <w:rsid w:val="006722BF"/>
    <w:rsid w:val="00675098"/>
    <w:rsid w:val="00675481"/>
    <w:rsid w:val="0067562E"/>
    <w:rsid w:val="00681BD9"/>
    <w:rsid w:val="00682089"/>
    <w:rsid w:val="006855F8"/>
    <w:rsid w:val="006860B1"/>
    <w:rsid w:val="00686CBC"/>
    <w:rsid w:val="00692195"/>
    <w:rsid w:val="006922C3"/>
    <w:rsid w:val="006A043A"/>
    <w:rsid w:val="006A0ADC"/>
    <w:rsid w:val="006A1386"/>
    <w:rsid w:val="006B384C"/>
    <w:rsid w:val="006B3B29"/>
    <w:rsid w:val="006B487A"/>
    <w:rsid w:val="006C0EBB"/>
    <w:rsid w:val="006C1DF8"/>
    <w:rsid w:val="006C69A3"/>
    <w:rsid w:val="006C6D4E"/>
    <w:rsid w:val="006C6DDD"/>
    <w:rsid w:val="006C7600"/>
    <w:rsid w:val="006C7E23"/>
    <w:rsid w:val="006D3530"/>
    <w:rsid w:val="006E104E"/>
    <w:rsid w:val="006E42FC"/>
    <w:rsid w:val="006F0DFB"/>
    <w:rsid w:val="006F1FF6"/>
    <w:rsid w:val="006F517E"/>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C6DAC"/>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5A4"/>
    <w:rsid w:val="00845A6C"/>
    <w:rsid w:val="008505C5"/>
    <w:rsid w:val="00852177"/>
    <w:rsid w:val="0085614D"/>
    <w:rsid w:val="00860D10"/>
    <w:rsid w:val="00873392"/>
    <w:rsid w:val="0087568C"/>
    <w:rsid w:val="00876529"/>
    <w:rsid w:val="00876FCA"/>
    <w:rsid w:val="0088039B"/>
    <w:rsid w:val="008803FF"/>
    <w:rsid w:val="00882EB5"/>
    <w:rsid w:val="00886481"/>
    <w:rsid w:val="00893ECB"/>
    <w:rsid w:val="00893F4E"/>
    <w:rsid w:val="00895FEF"/>
    <w:rsid w:val="008A099A"/>
    <w:rsid w:val="008A0FF0"/>
    <w:rsid w:val="008A15CD"/>
    <w:rsid w:val="008A4E2F"/>
    <w:rsid w:val="008B0B7F"/>
    <w:rsid w:val="008B29E2"/>
    <w:rsid w:val="008C0AC8"/>
    <w:rsid w:val="008C3886"/>
    <w:rsid w:val="008C4546"/>
    <w:rsid w:val="008C6239"/>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1EC4"/>
    <w:rsid w:val="0093707F"/>
    <w:rsid w:val="00941458"/>
    <w:rsid w:val="00945646"/>
    <w:rsid w:val="0094611D"/>
    <w:rsid w:val="009461F0"/>
    <w:rsid w:val="0095337B"/>
    <w:rsid w:val="00954ABD"/>
    <w:rsid w:val="00954BDB"/>
    <w:rsid w:val="00956ABA"/>
    <w:rsid w:val="0097385B"/>
    <w:rsid w:val="009739A3"/>
    <w:rsid w:val="009825ED"/>
    <w:rsid w:val="00992252"/>
    <w:rsid w:val="00993C74"/>
    <w:rsid w:val="00996D7B"/>
    <w:rsid w:val="009A0F8E"/>
    <w:rsid w:val="009A144C"/>
    <w:rsid w:val="009A24EB"/>
    <w:rsid w:val="009A4773"/>
    <w:rsid w:val="009A541C"/>
    <w:rsid w:val="009A7140"/>
    <w:rsid w:val="009B1492"/>
    <w:rsid w:val="009B3125"/>
    <w:rsid w:val="009B4081"/>
    <w:rsid w:val="009C2824"/>
    <w:rsid w:val="009C52D5"/>
    <w:rsid w:val="009C595C"/>
    <w:rsid w:val="009C65CC"/>
    <w:rsid w:val="009C66FD"/>
    <w:rsid w:val="009C7CE3"/>
    <w:rsid w:val="009D1E06"/>
    <w:rsid w:val="009E1B0F"/>
    <w:rsid w:val="009E2AB8"/>
    <w:rsid w:val="009E2CE4"/>
    <w:rsid w:val="009F08B6"/>
    <w:rsid w:val="009F1DF6"/>
    <w:rsid w:val="009F39F5"/>
    <w:rsid w:val="009F6070"/>
    <w:rsid w:val="00A05F9F"/>
    <w:rsid w:val="00A06D2A"/>
    <w:rsid w:val="00A10B0F"/>
    <w:rsid w:val="00A1392A"/>
    <w:rsid w:val="00A14AFB"/>
    <w:rsid w:val="00A21426"/>
    <w:rsid w:val="00A23220"/>
    <w:rsid w:val="00A33439"/>
    <w:rsid w:val="00A37D1C"/>
    <w:rsid w:val="00A37D30"/>
    <w:rsid w:val="00A37EAE"/>
    <w:rsid w:val="00A41BC7"/>
    <w:rsid w:val="00A425FA"/>
    <w:rsid w:val="00A45CFA"/>
    <w:rsid w:val="00A509E1"/>
    <w:rsid w:val="00A546E4"/>
    <w:rsid w:val="00A555F9"/>
    <w:rsid w:val="00A57FBE"/>
    <w:rsid w:val="00A6170F"/>
    <w:rsid w:val="00A73DA2"/>
    <w:rsid w:val="00A85603"/>
    <w:rsid w:val="00A8756E"/>
    <w:rsid w:val="00A90C90"/>
    <w:rsid w:val="00A9384A"/>
    <w:rsid w:val="00AA0563"/>
    <w:rsid w:val="00AA6DBF"/>
    <w:rsid w:val="00AA7C9A"/>
    <w:rsid w:val="00AB1507"/>
    <w:rsid w:val="00AB30BD"/>
    <w:rsid w:val="00AB437C"/>
    <w:rsid w:val="00AB63C3"/>
    <w:rsid w:val="00AC021D"/>
    <w:rsid w:val="00AC6EB5"/>
    <w:rsid w:val="00AD3411"/>
    <w:rsid w:val="00AD77D6"/>
    <w:rsid w:val="00AE1BCE"/>
    <w:rsid w:val="00AE4FFE"/>
    <w:rsid w:val="00AF5D51"/>
    <w:rsid w:val="00AF613B"/>
    <w:rsid w:val="00B050CB"/>
    <w:rsid w:val="00B06DFC"/>
    <w:rsid w:val="00B071D5"/>
    <w:rsid w:val="00B13944"/>
    <w:rsid w:val="00B14122"/>
    <w:rsid w:val="00B1708E"/>
    <w:rsid w:val="00B2278A"/>
    <w:rsid w:val="00B23A47"/>
    <w:rsid w:val="00B24D7E"/>
    <w:rsid w:val="00B260AA"/>
    <w:rsid w:val="00B267BF"/>
    <w:rsid w:val="00B32BC7"/>
    <w:rsid w:val="00B3581A"/>
    <w:rsid w:val="00B36BB1"/>
    <w:rsid w:val="00B37BE3"/>
    <w:rsid w:val="00B43EFE"/>
    <w:rsid w:val="00B46612"/>
    <w:rsid w:val="00B47345"/>
    <w:rsid w:val="00B52B02"/>
    <w:rsid w:val="00B54C35"/>
    <w:rsid w:val="00B54D57"/>
    <w:rsid w:val="00B625AB"/>
    <w:rsid w:val="00B62680"/>
    <w:rsid w:val="00B66B5B"/>
    <w:rsid w:val="00B7291F"/>
    <w:rsid w:val="00B76118"/>
    <w:rsid w:val="00B8796D"/>
    <w:rsid w:val="00B9254C"/>
    <w:rsid w:val="00B92BB9"/>
    <w:rsid w:val="00B95A69"/>
    <w:rsid w:val="00B97DBF"/>
    <w:rsid w:val="00BA162C"/>
    <w:rsid w:val="00BA19B8"/>
    <w:rsid w:val="00BB478F"/>
    <w:rsid w:val="00BC2002"/>
    <w:rsid w:val="00BC2655"/>
    <w:rsid w:val="00BC55C1"/>
    <w:rsid w:val="00BC6822"/>
    <w:rsid w:val="00BC6EA4"/>
    <w:rsid w:val="00BD2559"/>
    <w:rsid w:val="00BD4C6A"/>
    <w:rsid w:val="00BD5024"/>
    <w:rsid w:val="00BD5BDA"/>
    <w:rsid w:val="00BE2267"/>
    <w:rsid w:val="00BE4DA7"/>
    <w:rsid w:val="00BE532F"/>
    <w:rsid w:val="00BE71EF"/>
    <w:rsid w:val="00BE75F1"/>
    <w:rsid w:val="00BF193F"/>
    <w:rsid w:val="00BF6CEE"/>
    <w:rsid w:val="00C01673"/>
    <w:rsid w:val="00C01C55"/>
    <w:rsid w:val="00C06ECD"/>
    <w:rsid w:val="00C10269"/>
    <w:rsid w:val="00C1054A"/>
    <w:rsid w:val="00C10CCC"/>
    <w:rsid w:val="00C1293C"/>
    <w:rsid w:val="00C13FBE"/>
    <w:rsid w:val="00C158F5"/>
    <w:rsid w:val="00C16F23"/>
    <w:rsid w:val="00C21780"/>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3AE8"/>
    <w:rsid w:val="00C95192"/>
    <w:rsid w:val="00C95778"/>
    <w:rsid w:val="00CA390C"/>
    <w:rsid w:val="00CA5039"/>
    <w:rsid w:val="00CA60B2"/>
    <w:rsid w:val="00CA6E28"/>
    <w:rsid w:val="00CA76D6"/>
    <w:rsid w:val="00CA7DD2"/>
    <w:rsid w:val="00CB044D"/>
    <w:rsid w:val="00CB1168"/>
    <w:rsid w:val="00CB2820"/>
    <w:rsid w:val="00CB642D"/>
    <w:rsid w:val="00CC13AD"/>
    <w:rsid w:val="00CC2373"/>
    <w:rsid w:val="00CD17F4"/>
    <w:rsid w:val="00CD4849"/>
    <w:rsid w:val="00CE55DE"/>
    <w:rsid w:val="00CF11A4"/>
    <w:rsid w:val="00CF561D"/>
    <w:rsid w:val="00CF5A0F"/>
    <w:rsid w:val="00CF6DB0"/>
    <w:rsid w:val="00CF7853"/>
    <w:rsid w:val="00D01FB8"/>
    <w:rsid w:val="00D05E3A"/>
    <w:rsid w:val="00D14988"/>
    <w:rsid w:val="00D1559F"/>
    <w:rsid w:val="00D20079"/>
    <w:rsid w:val="00D20C64"/>
    <w:rsid w:val="00D217D0"/>
    <w:rsid w:val="00D23F17"/>
    <w:rsid w:val="00D25F1D"/>
    <w:rsid w:val="00D27914"/>
    <w:rsid w:val="00D31BEC"/>
    <w:rsid w:val="00D32F04"/>
    <w:rsid w:val="00D34AE9"/>
    <w:rsid w:val="00D34F0E"/>
    <w:rsid w:val="00D40D2C"/>
    <w:rsid w:val="00D40E3B"/>
    <w:rsid w:val="00D41038"/>
    <w:rsid w:val="00D4445E"/>
    <w:rsid w:val="00D5011A"/>
    <w:rsid w:val="00D5593B"/>
    <w:rsid w:val="00D57F2F"/>
    <w:rsid w:val="00D626A3"/>
    <w:rsid w:val="00D62FEB"/>
    <w:rsid w:val="00D63500"/>
    <w:rsid w:val="00D73A4A"/>
    <w:rsid w:val="00D7413C"/>
    <w:rsid w:val="00D7533B"/>
    <w:rsid w:val="00D75D9B"/>
    <w:rsid w:val="00D83FF1"/>
    <w:rsid w:val="00D877A7"/>
    <w:rsid w:val="00D87836"/>
    <w:rsid w:val="00D954DF"/>
    <w:rsid w:val="00DA0E76"/>
    <w:rsid w:val="00DA489F"/>
    <w:rsid w:val="00DA67EE"/>
    <w:rsid w:val="00DA6944"/>
    <w:rsid w:val="00DA7961"/>
    <w:rsid w:val="00DA7CC4"/>
    <w:rsid w:val="00DB48F2"/>
    <w:rsid w:val="00DB4C2E"/>
    <w:rsid w:val="00DB605A"/>
    <w:rsid w:val="00DC37ED"/>
    <w:rsid w:val="00DD11C4"/>
    <w:rsid w:val="00DD182D"/>
    <w:rsid w:val="00DD4419"/>
    <w:rsid w:val="00DD4F4E"/>
    <w:rsid w:val="00DE6363"/>
    <w:rsid w:val="00DF0B69"/>
    <w:rsid w:val="00DF1E41"/>
    <w:rsid w:val="00DF2D4E"/>
    <w:rsid w:val="00DF523B"/>
    <w:rsid w:val="00E0036B"/>
    <w:rsid w:val="00E01992"/>
    <w:rsid w:val="00E059C9"/>
    <w:rsid w:val="00E10335"/>
    <w:rsid w:val="00E10380"/>
    <w:rsid w:val="00E10495"/>
    <w:rsid w:val="00E10695"/>
    <w:rsid w:val="00E12B20"/>
    <w:rsid w:val="00E15767"/>
    <w:rsid w:val="00E20A2D"/>
    <w:rsid w:val="00E23173"/>
    <w:rsid w:val="00E238A8"/>
    <w:rsid w:val="00E24BFE"/>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1DE5"/>
    <w:rsid w:val="00E7202F"/>
    <w:rsid w:val="00E77C6A"/>
    <w:rsid w:val="00E8117D"/>
    <w:rsid w:val="00E83473"/>
    <w:rsid w:val="00E85F4E"/>
    <w:rsid w:val="00E95D39"/>
    <w:rsid w:val="00EA080F"/>
    <w:rsid w:val="00EA563D"/>
    <w:rsid w:val="00EB0480"/>
    <w:rsid w:val="00EB0B8F"/>
    <w:rsid w:val="00EB336A"/>
    <w:rsid w:val="00EB38E2"/>
    <w:rsid w:val="00EB3CE5"/>
    <w:rsid w:val="00EB5993"/>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0635"/>
    <w:rsid w:val="00F12ADF"/>
    <w:rsid w:val="00F1469E"/>
    <w:rsid w:val="00F21636"/>
    <w:rsid w:val="00F21A55"/>
    <w:rsid w:val="00F22E3D"/>
    <w:rsid w:val="00F23242"/>
    <w:rsid w:val="00F300B8"/>
    <w:rsid w:val="00F30FDC"/>
    <w:rsid w:val="00F314E5"/>
    <w:rsid w:val="00F33438"/>
    <w:rsid w:val="00F427DB"/>
    <w:rsid w:val="00F459EC"/>
    <w:rsid w:val="00F47013"/>
    <w:rsid w:val="00F6025D"/>
    <w:rsid w:val="00F70952"/>
    <w:rsid w:val="00F75024"/>
    <w:rsid w:val="00F75F7A"/>
    <w:rsid w:val="00F83E00"/>
    <w:rsid w:val="00F86575"/>
    <w:rsid w:val="00F86E4F"/>
    <w:rsid w:val="00F87AAD"/>
    <w:rsid w:val="00F91681"/>
    <w:rsid w:val="00FA057D"/>
    <w:rsid w:val="00FA4778"/>
    <w:rsid w:val="00FB118F"/>
    <w:rsid w:val="00FB4647"/>
    <w:rsid w:val="00FB52FF"/>
    <w:rsid w:val="00FB7F17"/>
    <w:rsid w:val="00FC0352"/>
    <w:rsid w:val="00FC3A30"/>
    <w:rsid w:val="00FC3B3A"/>
    <w:rsid w:val="00FC4660"/>
    <w:rsid w:val="00FC577F"/>
    <w:rsid w:val="00FD21CB"/>
    <w:rsid w:val="00FD2D81"/>
    <w:rsid w:val="00FD5529"/>
    <w:rsid w:val="00FD57F8"/>
    <w:rsid w:val="00FD72CE"/>
    <w:rsid w:val="00FE1489"/>
    <w:rsid w:val="00FE2D88"/>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0E3E71"/>
  <w15:docId w15:val="{D5FBC3DB-E0C9-4CDF-AA77-DE44A2BC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qFormat/>
    <w:rsid w:val="00235549"/>
  </w:style>
  <w:style w:type="paragraph" w:styleId="Heading1">
    <w:name w:val="heading 1"/>
    <w:basedOn w:val="Normal"/>
    <w:next w:val="Normal"/>
    <w:link w:val="Heading1Char"/>
    <w:uiPriority w:val="99"/>
    <w:semiHidden/>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39"/>
    <w:qFormat/>
    <w:rsid w:val="00CF5A0F"/>
    <w:pPr>
      <w:tabs>
        <w:tab w:val="right" w:leader="dot" w:pos="9288"/>
      </w:tabs>
      <w:ind w:right="720" w:hanging="720"/>
    </w:pPr>
  </w:style>
  <w:style w:type="paragraph" w:customStyle="1" w:styleId="1Heading1">
    <w:name w:val="1 Heading 1"/>
    <w:basedOn w:val="Normal"/>
    <w:link w:val="1Heading1Char"/>
    <w:uiPriority w:val="1"/>
    <w:qFormat/>
    <w:rsid w:val="00EA080F"/>
    <w:pPr>
      <w:numPr>
        <w:numId w:val="47"/>
      </w:numPr>
      <w:spacing w:before="240"/>
      <w:ind w:left="0" w:hanging="72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D41038"/>
    <w:pPr>
      <w:numPr>
        <w:numId w:val="48"/>
      </w:numPr>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1"/>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uiPriority w:val="1"/>
    <w:rsid w:val="00BC6EA4"/>
    <w:rPr>
      <w:b/>
      <w:sz w:val="22"/>
      <w:szCs w:val="28"/>
    </w:rPr>
  </w:style>
  <w:style w:type="paragraph" w:customStyle="1" w:styleId="spParagraph">
    <w:name w:val="spParagraph"/>
    <w:uiPriority w:val="1"/>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1"/>
    <w:qFormat/>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uiPriority w:val="19"/>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semiHidden/>
    <w:rsid w:val="00235549"/>
  </w:style>
  <w:style w:type="character" w:customStyle="1" w:styleId="HeaderChar">
    <w:name w:val="Header Char"/>
    <w:basedOn w:val="DefaultParagraphFont"/>
    <w:link w:val="Header"/>
    <w:uiPriority w:val="99"/>
    <w:semiHidden/>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15187247">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nr.wi.gov/topic/stormwater/standards/const_standard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Naming convention : CD - Calendar Days ; WD - Working Days ; ComDt - Completion Date-->
    <tabs>
      <tab idMso="TabHome">
        <group idMso="GroupStyles" visible="true"/>
        <group id="ToolsGroup" label="Tools">
          <button id="rxbtnUAN" imageMso="Numbering" label="Undo AutoNumbers" onAction="rxbtnShared_Click" supertip="Convert auto numbered or auto bulleted lists to manual lists. You can then format them as ssBullet1 or ssNumList1 style and indent as desired"/>
          <button id="rxbtnPU" imageMso="RecurrenceEdit" label="Paste Unformatted" onAction="rxbtnShared_Click" supertip="Pastes whatever is on the clipboard into the target location inheriting the formatting of the target location"/>
          <button id="rxbtnS" imageMso="StylesPane" label="Styles" onAction="rxbtnShared_Click" screentip="(Alt+Ctrl+Shift+S)" supertip="Opens the styles pane."/>
          <button id="rxbtnSMD" imageMso="FileProperties" label="Show Metadata" onAction="rxbtnShared_Click" supertip="Shows the document metadata and allows you to update it."/>
          <button id="rxbtnUS" imageMso="U" label="Make spUndefined" onAction="rxbtnShared_Click" supertip="Converts whatever is selected to spUndefined style while maintaining its formatting. Does not retain the font color."/>
          <button id="rxbtnMakeSmall" imageMso="S" label="Make spSmall" onAction="rxbtnShared_Click" supertip="Converts whatever is selected to spSmall style while maintaining its formatting. Does not retain the font color."/>
        </group>
      </tab>
      <tab id="rxtabWorkingDay" label="Working Day">
        <group id="rxgrpUtilityWD" label="   ">
          <button id="rxbtnRemoveTNotesWD" imageMso="Delete" keytip="D" label="Delete Technical Notes" onAction="rxbtnWDShared_Click" screentip="Delete Technical Notes" size="large" supertip="Use to remove Technical Notes from the document"/>
        </group>
        <group id="rxgrpScheduleWD" label="Schedule">
          <button id="rxbtnTimeFrameWD" imageMso="TableEffectsCellBevelGallery" keytip="T" label="Timeframe" onAction="rxbtnWDShared_Click" screentip="Timeframe" size="large" supertip="Use when contractor is to provide a timeframe for the work"/>
          <separator id="rxWDSep1"/>
          <button id="rxbtnFallSuspensionWD" imageMso="TableEffectsCellBevelGallery" keytip="F" label="Fall Suspension" onAction="rxbtnWDShared_Click" screentip="Fall Suspension" size="large" supertip="Work suspension in accordance to 108.9.2 due to seasonal weather conditions"/>
          <separator id="rxWDSep2"/>
          <button id="rxbtnExpeditedScheduleWD" imageMso="TableEffectsCellBevelGallery" keytip="E" label="Expedited Schedule" onAction="rxbtnWDShared_Click" screentip="Expedited Schedule" size="large" supertip="Use when contract time requires expedited work schedule and may require extra forces and equipment"/>
        </group>
        <group id="rxgrpInterimLiquidatedDamagesWD" label="Interim Liquidated Damages">
          <button id="rxbtnWorkingDay" imageMso="TableEffectsCellBevelGallery" keytip="L" label="Working Day" onAction="rxbtnWDShared_Click" screentip="Working Day" size="large" supertip="Use when project has Interim Liquidated Damages"/>
        </group>
        <group id="rxgrpFinalLiquidatedDamagesWD" label="   ">
          <button id="rxbtnELDWD" imageMso="TableEffectsCellBevelGallery" keytip="E" label="Enhanced LD" onAction="rxbtnWDShared_Click" screentip="Enhanced LD" size="large" supertip="Use for Enhanced LD"/>
        </group>
        <group id="rxgrpEnvironmentalWD" label="Environmental">
          <button id="rxbtnFishWD" imageMso="TableEffectsCellBevelGallery" keytip="F" label="Fish" onAction="rxbtnWDShared_Click" screentip="Fish" size="large" supertip="Use when there is a fish spawning window"/>
          <separator id="rxWDSep4"/>
          <button id="rxbtnBirdsWD" imageMso="TableEffectsCellBevelGallery" keytip="S" label="Birds" onAction="rxbtnWDShared_Click" screentip="Birds" size="large" supertip="Use when swallows or other migratory birds are present"/>
          <separator id="rxWDSep5"/>
          <button id="rxbtnNLEBWD" imageMso="TableEffectsCellBevelGallery" keytip="B" label="NLEB" onAction="rxbtnWDShared_Click" screentip="Bats" size="large" supertip="Use for NLEB"/>
        </group>
      </tab>
      <tab id="rxtabCalendarDay" label="Calendar Day">
        <group id="rxgrpUtilityCD" label="   ">
          <button id="rxbtnRemoveTNotesCD" imageMso="Delete" keytip="D" label="Delete Technical Notes" onAction="rxbtnCDShared_Click" screentip="Delete Technical Notes" size="large" supertip="Use to remove Technical Notes from the document"/>
        </group>
        <group id="rxgrpScheduleCD" label="Schedule">
          <button id="rxbtnTimeFrameCD" imageMso="TableEffectsCellBevelGallery" keytip="T" label="Timeframe" onAction="rxbtnCDShared_Click" screentip="Timeframe" size="large" supertip="Use when contractor is to provide a timeframe for the work"/>
          <separator id="rxCDSep1"/>
          <button id="rxbtnFallSuspensionCD" imageMso="TableEffectsCellBevelGallery" keytip="F" label="Fall Suspension" onAction="rxbtnCDShared_Click" screentip="Fall Suspension" size="large" supertip="Work suspension in accordance to 108.9.2 due to seasonal weather conditions"/>
          <separator id="rxCDSep2"/>
          <button id="rxbtnExpeditedScheduleCD" imageMso="TableEffectsCellBevelGallery" keytip="E" label="Expedited Schedule" onAction="rxbtnCDShared_Click" screentip="Expedited Schedule" size="large" supertip="Use when contract time requires expedited work schedule and may require extra forces and equipment"/>
        </group>
        <group id="rxgrpInterimLiquidatedDamagesCD" label="Interim Liquidated Damages">
          <button id="rxbtnEliminateExcusableDelaysCalendarDays" label="Eliminate Excusable Delays Calendar Days" imageMso="TableEffectsCellBevelGallery" keytip="LD1" onAction="rxbtnCDShared_Click" screentip="Eliminate Excusable Delays CD" size="large" supertip="Based on CALENDAR DAYS - use when eliminating excusable delays"/>
          <separator id="rxCDSep6"/>
          <button id="rxbtnRestrictWeatherDelaysCalendarDays" label="Restrict Weather Delays Calendar Days" imageMso="TableEffectsCellBevelGallery" keytip="LD2" onAction="rxbtnCDShared_Click" screentip="Restrict Weather Delays Calendar Days" size="large" supertip="Based on CALENDAR DAYS - use when restricting weather delays"/>
          <separator id="rxCDSep7"/>
          <button id="rxbtnEliminateExcusableDelaysFixedDate" label="Eliminate Excusable Delays Fixed Date" imageMso="TableEffectsCellBevelGallery" keytip="LD3" onAction="rxbtnCDShared_Click" screentip="Eliminate Excusable Delays Fixed Date" size="large" supertip="Based on a FIXED DATE- use when eliminating excusable delays"/>
          <separator id="rxCDSep8"/>
          <button id="rxbtnRestrictWeatherDelaysFixedDate" label="Restrict Weather Delays Fixed Date" imageMso="TableEffectsCellBevelGallery" keytip="LD4" onAction="rxbtnCDShared_Click" screentip="Interim Liquidated Damages Restrict Granting Weather Delays FD" size="large" supertip="Based on a FIXED DATE - use when restricting weather delays"/>
        </group>
        <group id="rxgrpFinalLiquidatedDamagesCD" label="   ">
          <button id="rxbtnELDCD" imageMso="TableEffectsCellBevelGallery" keytip="E" label="Enhanced LD" onAction="rxbtnCDShared_Click" screentip="Enhanced LD" size="large" supertip="Use for Enhanced LD"/>
        </group>
        <group id="rxgrpEnvironmentalCD" label="Environmental">
          <button id="rxbtnFishCD" imageMso="TableEffectsCellBevelGallery" keytip="F" label="Fish" onAction="rxbtnCDShared_Click" screentip="Fish" size="large" supertip="Use when there is a fish spawning window"/>
          <separator id="rxCDSep4"/>
          <button id="rxbtnBirdsCD" imageMso="TableEffectsCellBevelGallery" keytip="S" label="Birds" onAction="rxbtnCDShared_Click" screentip="Birds" size="large" supertip="Use when swallows or other migratory birds are present"/>
          <separator id="rxCDSep9"/>
          <button id="rxbtnNLEBCD" imageMso="TableEffectsCellBevelGallery" keytip="B" label="NLEB" onAction="rxbtnCDShared_Click" screentip="Bats" size="large" supertip="Use for NLEB"/>
        </group>
      </tab>
      <tab id="rxtabCompletionDate" label="Completion Date">
        <group id="rxgrpUtilityComDt" label="   ">
          <button id="rxbtnRemoveTNotesComDt" imageMso="Delete" keytip="D" label="Delete Technical Notes" onAction="rxbtnComDtShared_Click" screentip="Delete Technical Notes" size="large" supertip="Use to remove Technical Notes from the document"/>
        </group>
        <group id="rxgrpScheduleComDt" label="Schedule">
          <button id="rxbtnTimeFrameComDt" imageMso="TableEffectsCellBevelGallery" keytip="T" label="Timeframe" onAction="rxbtnComDtShared_Click" screentip="Timeframe" size="large" supertip="Use when contractor is to provide a timeframe for the work"/>
          <separator id="rxComDtSep1"/>
          <button id="rxbtnExpeditedScheduleComDt" imageMso="TableEffectsCellBevelGallery" keytip="E" label="Expedited Schedule" onAction="rxbtnComDtShared_Click" screentip="Expedited Schedule" size="large" supertip="Use when contract time requires expedited work schedule and may require extra forces and equipment"/>
        </group>
        <group id="rxgrpInterimLiquidatedDamagesComDt" label="Interim Liquidated Damages">
          <button id="rxbtnEliminateExcusableDelaysCalendarDaysComDt" imageMso="TableEffectsCellBevelGallery" keytip="LD1" label="Eliminate Excusable Delays Calendar Days" onAction="rxbtnComDtShared_Click" screentip="Eliminate Excusable Delays Calendar Days" size="large" supertip="Based on CALENDAR DAYS - use when eliminating excusable delays"/>
          <separator id="rxComDtSep6"/>
          <button id="rxbtnRestrictWeatherDelaysCalendarDaysComDt" imageMso="TableEffectsCellBevelGallery" keytip="LD2" label="Restrict Weather Delays Calendar Days" onAction="rxbtnComDtShared_Click" screentip="Restrict Weather Delays Calendar Days" size="large" supertip="Based on CALENDAR DAYS - use when restricting weather delays"/>
          <separator id="rxComDtSep7"/>
          <button id="rxbtnEliminateExcusableDelaysFixedDateComDt" imageMso="TableEffectsCellBevelGallery" keytip="LD5" label="Eliminate Excusable Delays Fixed Date" onAction="rxbtnComDtShared_Click" screentip="Eliminate Excusable Delays Fixed Date" size="large" supertip="Based on a FIXED DATE and when there are multiple projects - use when eliminating excusable delays"/>
          <separator id="rxComDtSep8"/>
          <button id="rxbtnRestrictWeatherDelaysFixedDateComDt" imageMso="TableEffectsCellBevelGallery" keytip="LD3" label="Restrict Weather Delays Fixed Date" onAction="rxbtnComDtShared_Click" screentip="Restrict Weather Delays Fixed Date" size="large" supertip="Based on a FIXED DATE- use when eliminating excusable delays"/>
          <separator id="rxComDtSep9"/>
          <button id="rxbtnEliminateExcusableDelaysMultipleProjComDt" label="Eliminate Excusable Delays Multiple Proj" imageMso="TableEffectsCellBevelGallery" keytip="LD4" onAction="rxbtnComDtShared_Click" screentip="Interim Liquidated Damages Restrict Granting Weather Delays FD" size="large" supertip="Based on a FIXED DATE - use when restricting weather delays"/>
        </group>
        <group id="rxgrpFinalLiquidatedDamagesComDt" label="   ">
          <button id="rxbtnELDComDt" imageMso="TableEffectsCellBevelGallery" keytip="E" label="Enhanced LD" onAction="rxbtnComDtShared_Click" screentip="Enhanced LD" size="large" supertip="Use for Enhanced LD"/>
        </group>
        <group id="rxgrpEnvironmentalComDt" label="Environmental">
          <button id="rxbtnFishComDt" imageMso="TableEffectsCellBevelGallery" keytip="F" label="Fish" onAction="rxbtnComDtShared_Click" screentip="Fish" size="large" supertip="Use when there is a fish spawning window"/>
          <separator id="rxComDtSep4"/>
          <button id="rxbtnBirdsComDt" imageMso="TableEffectsCellBevelGallery" keytip="S" label="Birds" onAction="rxbtnComDtShared_Click" screentip="Birds" size="large" supertip="Use when swallows or other migratory birds are present"/>
          <separator id="rxComDtSep10"/>
          <button id="rxbtnNLEBComDt" imageMso="TableEffectsCellBevelGallery" keytip="B" label="NLEB" onAction="rxbtnComDtShared_Click" screentip="Bats" size="large" supertip="Use for NLEB"/>
        </group>
      </tab>
      <tab id="rxtabTraffic" label="Traffic">
        <group id="rxgrpUtilityTraffic" label="   ">
          <button id="rxbtnRemoveTNotesTraffic" imageMso="Delete" keytip="D" label="Delete Technical Notes" onAction="rxbtnTrafficShared_Click" screentip="Delete Technical Notes" size="large" supertip="Use to remove Technical Notes from the document"/>
        </group>
        <group id="rxgrpTraffic1" label="  ">
          <button id="rxbtnLCS" imageMso="TableEffectsCellBevelGallery" keytip="T" label="LCS" onAction="rxbtnTrafficShared_Click" screentip="Timeframe" size="large" supertip="Use when contractor is to provide a timeframe for the work"/>
          <separator id="rxTrafficSep1"/>
          <button id="rxbtnTempRegSpeedLimRed" imageMso="TableEffectsCellBevelGallery" keytip="E" label="Temp Reg Speed Lim Red" onAction="rxbtnTrafficShared_Click" screentip="Expedited Schedule" size="large" supertip="Use when contract time requires expedited work schedule and may require extra forces and equipmen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13590aa26d6e57585ce7de1d58b5c226">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078559f70512f2a2bd786b8c2707f4fa"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A2C6A40-A5A9-4DC3-A642-F1F03BD06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CCDC36B6-B6E8-4579-A7DB-4025B6D3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Ryan Murphy</dc:creator>
  <cp:keywords>STSP, template, special provisions, building blocks</cp:keywords>
  <cp:lastModifiedBy>Ryan Murphy</cp:lastModifiedBy>
  <cp:revision>14</cp:revision>
  <cp:lastPrinted>2013-06-26T16:11:00Z</cp:lastPrinted>
  <dcterms:created xsi:type="dcterms:W3CDTF">2019-09-23T13:29:00Z</dcterms:created>
  <dcterms:modified xsi:type="dcterms:W3CDTF">2019-11-19T20:05:00Z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