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Pr="0003239F" w:rsidRDefault="00BE2267" w:rsidP="0003239F">
      <w:pPr>
        <w:ind w:left="0"/>
        <w:jc w:val="center"/>
        <w:rPr>
          <w:b/>
        </w:rPr>
      </w:pPr>
      <w:r w:rsidRPr="0003239F">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212A62" w:rsidRDefault="00FC4660">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88312171" w:history="1">
        <w:r w:rsidR="00212A62" w:rsidRPr="00961AE8">
          <w:rPr>
            <w:rStyle w:val="Hyperlink"/>
            <w:noProof/>
          </w:rPr>
          <w:t>1.</w:t>
        </w:r>
        <w:r w:rsidR="00212A62">
          <w:rPr>
            <w:rFonts w:asciiTheme="minorHAnsi" w:eastAsiaTheme="minorEastAsia" w:hAnsiTheme="minorHAnsi" w:cstheme="minorBidi"/>
            <w:noProof/>
            <w:sz w:val="22"/>
            <w:szCs w:val="22"/>
          </w:rPr>
          <w:tab/>
        </w:r>
        <w:r w:rsidR="00212A62" w:rsidRPr="00961AE8">
          <w:rPr>
            <w:rStyle w:val="Hyperlink"/>
            <w:noProof/>
          </w:rPr>
          <w:t>General.</w:t>
        </w:r>
        <w:r w:rsidR="00212A62">
          <w:rPr>
            <w:noProof/>
            <w:webHidden/>
          </w:rPr>
          <w:tab/>
        </w:r>
        <w:r w:rsidR="00212A62">
          <w:rPr>
            <w:noProof/>
            <w:webHidden/>
          </w:rPr>
          <w:fldChar w:fldCharType="begin"/>
        </w:r>
        <w:r w:rsidR="00212A62">
          <w:rPr>
            <w:noProof/>
            <w:webHidden/>
          </w:rPr>
          <w:instrText xml:space="preserve"> PAGEREF _Toc488312171 \h </w:instrText>
        </w:r>
        <w:r w:rsidR="00212A62">
          <w:rPr>
            <w:noProof/>
            <w:webHidden/>
          </w:rPr>
        </w:r>
        <w:r w:rsidR="00212A62">
          <w:rPr>
            <w:noProof/>
            <w:webHidden/>
          </w:rPr>
          <w:fldChar w:fldCharType="separate"/>
        </w:r>
        <w:r w:rsidR="00212A62">
          <w:rPr>
            <w:noProof/>
            <w:webHidden/>
          </w:rPr>
          <w:t>2</w:t>
        </w:r>
        <w:r w:rsidR="00212A62">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2" w:history="1">
        <w:r w:rsidRPr="00961AE8">
          <w:rPr>
            <w:rStyle w:val="Hyperlink"/>
            <w:noProof/>
          </w:rPr>
          <w:t>2.</w:t>
        </w:r>
        <w:r>
          <w:rPr>
            <w:rFonts w:asciiTheme="minorHAnsi" w:eastAsiaTheme="minorEastAsia" w:hAnsiTheme="minorHAnsi" w:cstheme="minorBidi"/>
            <w:noProof/>
            <w:sz w:val="22"/>
            <w:szCs w:val="22"/>
          </w:rPr>
          <w:tab/>
        </w:r>
        <w:r w:rsidRPr="00961AE8">
          <w:rPr>
            <w:rStyle w:val="Hyperlink"/>
            <w:noProof/>
          </w:rPr>
          <w:t>Scope of Work.</w:t>
        </w:r>
        <w:r>
          <w:rPr>
            <w:noProof/>
            <w:webHidden/>
          </w:rPr>
          <w:tab/>
        </w:r>
        <w:r>
          <w:rPr>
            <w:noProof/>
            <w:webHidden/>
          </w:rPr>
          <w:fldChar w:fldCharType="begin"/>
        </w:r>
        <w:r>
          <w:rPr>
            <w:noProof/>
            <w:webHidden/>
          </w:rPr>
          <w:instrText xml:space="preserve"> PAGEREF _Toc488312172 \h </w:instrText>
        </w:r>
        <w:r>
          <w:rPr>
            <w:noProof/>
            <w:webHidden/>
          </w:rPr>
        </w:r>
        <w:r>
          <w:rPr>
            <w:noProof/>
            <w:webHidden/>
          </w:rPr>
          <w:fldChar w:fldCharType="separate"/>
        </w:r>
        <w:r>
          <w:rPr>
            <w:noProof/>
            <w:webHidden/>
          </w:rPr>
          <w:t>2</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3" w:history="1">
        <w:r w:rsidRPr="00961AE8">
          <w:rPr>
            <w:rStyle w:val="Hyperlink"/>
            <w:noProof/>
          </w:rPr>
          <w:t>3.</w:t>
        </w:r>
        <w:r>
          <w:rPr>
            <w:rFonts w:asciiTheme="minorHAnsi" w:eastAsiaTheme="minorEastAsia" w:hAnsiTheme="minorHAnsi" w:cstheme="minorBidi"/>
            <w:noProof/>
            <w:sz w:val="22"/>
            <w:szCs w:val="22"/>
          </w:rPr>
          <w:tab/>
        </w:r>
        <w:r w:rsidRPr="00961AE8">
          <w:rPr>
            <w:rStyle w:val="Hyperlink"/>
            <w:noProof/>
          </w:rPr>
          <w:t>Prosecution and Progress.</w:t>
        </w:r>
        <w:r>
          <w:rPr>
            <w:noProof/>
            <w:webHidden/>
          </w:rPr>
          <w:tab/>
        </w:r>
        <w:r>
          <w:rPr>
            <w:noProof/>
            <w:webHidden/>
          </w:rPr>
          <w:fldChar w:fldCharType="begin"/>
        </w:r>
        <w:r>
          <w:rPr>
            <w:noProof/>
            <w:webHidden/>
          </w:rPr>
          <w:instrText xml:space="preserve"> PAGEREF _Toc488312173 \h </w:instrText>
        </w:r>
        <w:r>
          <w:rPr>
            <w:noProof/>
            <w:webHidden/>
          </w:rPr>
        </w:r>
        <w:r>
          <w:rPr>
            <w:noProof/>
            <w:webHidden/>
          </w:rPr>
          <w:fldChar w:fldCharType="separate"/>
        </w:r>
        <w:r>
          <w:rPr>
            <w:noProof/>
            <w:webHidden/>
          </w:rPr>
          <w:t>2</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4" w:history="1">
        <w:r w:rsidRPr="00961AE8">
          <w:rPr>
            <w:rStyle w:val="Hyperlink"/>
            <w:noProof/>
          </w:rPr>
          <w:t>4.</w:t>
        </w:r>
        <w:r>
          <w:rPr>
            <w:rFonts w:asciiTheme="minorHAnsi" w:eastAsiaTheme="minorEastAsia" w:hAnsiTheme="minorHAnsi" w:cstheme="minorBidi"/>
            <w:noProof/>
            <w:sz w:val="22"/>
            <w:szCs w:val="22"/>
          </w:rPr>
          <w:tab/>
        </w:r>
        <w:r w:rsidRPr="00961AE8">
          <w:rPr>
            <w:rStyle w:val="Hyperlink"/>
            <w:noProof/>
          </w:rPr>
          <w:t>Traffic.</w:t>
        </w:r>
        <w:r>
          <w:rPr>
            <w:noProof/>
            <w:webHidden/>
          </w:rPr>
          <w:tab/>
        </w:r>
        <w:r>
          <w:rPr>
            <w:noProof/>
            <w:webHidden/>
          </w:rPr>
          <w:fldChar w:fldCharType="begin"/>
        </w:r>
        <w:r>
          <w:rPr>
            <w:noProof/>
            <w:webHidden/>
          </w:rPr>
          <w:instrText xml:space="preserve"> PAGEREF _Toc488312174 \h </w:instrText>
        </w:r>
        <w:r>
          <w:rPr>
            <w:noProof/>
            <w:webHidden/>
          </w:rPr>
        </w:r>
        <w:r>
          <w:rPr>
            <w:noProof/>
            <w:webHidden/>
          </w:rPr>
          <w:fldChar w:fldCharType="separate"/>
        </w:r>
        <w:r>
          <w:rPr>
            <w:noProof/>
            <w:webHidden/>
          </w:rPr>
          <w:t>3</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5" w:history="1">
        <w:r w:rsidRPr="00961AE8">
          <w:rPr>
            <w:rStyle w:val="Hyperlink"/>
            <w:noProof/>
          </w:rPr>
          <w:t>5.</w:t>
        </w:r>
        <w:r>
          <w:rPr>
            <w:rFonts w:asciiTheme="minorHAnsi" w:eastAsiaTheme="minorEastAsia" w:hAnsiTheme="minorHAnsi" w:cstheme="minorBidi"/>
            <w:noProof/>
            <w:sz w:val="22"/>
            <w:szCs w:val="22"/>
          </w:rPr>
          <w:tab/>
        </w:r>
        <w:r w:rsidRPr="00961AE8">
          <w:rPr>
            <w:rStyle w:val="Hyperlink"/>
            <w:noProof/>
          </w:rPr>
          <w:t>Utilities.</w:t>
        </w:r>
        <w:r>
          <w:rPr>
            <w:noProof/>
            <w:webHidden/>
          </w:rPr>
          <w:tab/>
        </w:r>
        <w:r>
          <w:rPr>
            <w:noProof/>
            <w:webHidden/>
          </w:rPr>
          <w:fldChar w:fldCharType="begin"/>
        </w:r>
        <w:r>
          <w:rPr>
            <w:noProof/>
            <w:webHidden/>
          </w:rPr>
          <w:instrText xml:space="preserve"> PAGEREF _Toc488312175 \h </w:instrText>
        </w:r>
        <w:r>
          <w:rPr>
            <w:noProof/>
            <w:webHidden/>
          </w:rPr>
        </w:r>
        <w:r>
          <w:rPr>
            <w:noProof/>
            <w:webHidden/>
          </w:rPr>
          <w:fldChar w:fldCharType="separate"/>
        </w:r>
        <w:r>
          <w:rPr>
            <w:noProof/>
            <w:webHidden/>
          </w:rPr>
          <w:t>3</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6" w:history="1">
        <w:r w:rsidRPr="00961AE8">
          <w:rPr>
            <w:rStyle w:val="Hyperlink"/>
            <w:noProof/>
          </w:rPr>
          <w:t>6.</w:t>
        </w:r>
        <w:r>
          <w:rPr>
            <w:rFonts w:asciiTheme="minorHAnsi" w:eastAsiaTheme="minorEastAsia" w:hAnsiTheme="minorHAnsi" w:cstheme="minorBidi"/>
            <w:noProof/>
            <w:sz w:val="22"/>
            <w:szCs w:val="22"/>
          </w:rPr>
          <w:tab/>
        </w:r>
        <w:r w:rsidRPr="00961AE8">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_Toc488312176 \h </w:instrText>
        </w:r>
        <w:r>
          <w:rPr>
            <w:noProof/>
            <w:webHidden/>
          </w:rPr>
        </w:r>
        <w:r>
          <w:rPr>
            <w:noProof/>
            <w:webHidden/>
          </w:rPr>
          <w:fldChar w:fldCharType="separate"/>
        </w:r>
        <w:r>
          <w:rPr>
            <w:noProof/>
            <w:webHidden/>
          </w:rPr>
          <w:t>4</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7" w:history="1">
        <w:r w:rsidRPr="00961AE8">
          <w:rPr>
            <w:rStyle w:val="Hyperlink"/>
            <w:noProof/>
          </w:rPr>
          <w:t>7.</w:t>
        </w:r>
        <w:r>
          <w:rPr>
            <w:rFonts w:asciiTheme="minorHAnsi" w:eastAsiaTheme="minorEastAsia" w:hAnsiTheme="minorHAnsi" w:cstheme="minorBidi"/>
            <w:noProof/>
            <w:sz w:val="22"/>
            <w:szCs w:val="22"/>
          </w:rPr>
          <w:tab/>
        </w:r>
        <w:r w:rsidRPr="00961AE8">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_Toc488312177 \h </w:instrText>
        </w:r>
        <w:r>
          <w:rPr>
            <w:noProof/>
            <w:webHidden/>
          </w:rPr>
        </w:r>
        <w:r>
          <w:rPr>
            <w:noProof/>
            <w:webHidden/>
          </w:rPr>
          <w:fldChar w:fldCharType="separate"/>
        </w:r>
        <w:r>
          <w:rPr>
            <w:noProof/>
            <w:webHidden/>
          </w:rPr>
          <w:t>4</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8" w:history="1">
        <w:r w:rsidRPr="00961AE8">
          <w:rPr>
            <w:rStyle w:val="Hyperlink"/>
            <w:noProof/>
          </w:rPr>
          <w:t>8.</w:t>
        </w:r>
        <w:r>
          <w:rPr>
            <w:rFonts w:asciiTheme="minorHAnsi" w:eastAsiaTheme="minorEastAsia" w:hAnsiTheme="minorHAnsi" w:cstheme="minorBidi"/>
            <w:noProof/>
            <w:sz w:val="22"/>
            <w:szCs w:val="22"/>
          </w:rPr>
          <w:tab/>
        </w:r>
        <w:r w:rsidRPr="00961AE8">
          <w:rPr>
            <w:rStyle w:val="Hyperlink"/>
            <w:noProof/>
          </w:rPr>
          <w:t>Environmental Protection – Dewatering.</w:t>
        </w:r>
        <w:r>
          <w:rPr>
            <w:noProof/>
            <w:webHidden/>
          </w:rPr>
          <w:tab/>
        </w:r>
        <w:r>
          <w:rPr>
            <w:noProof/>
            <w:webHidden/>
          </w:rPr>
          <w:fldChar w:fldCharType="begin"/>
        </w:r>
        <w:r>
          <w:rPr>
            <w:noProof/>
            <w:webHidden/>
          </w:rPr>
          <w:instrText xml:space="preserve"> PAGEREF _Toc488312178 \h </w:instrText>
        </w:r>
        <w:r>
          <w:rPr>
            <w:noProof/>
            <w:webHidden/>
          </w:rPr>
        </w:r>
        <w:r>
          <w:rPr>
            <w:noProof/>
            <w:webHidden/>
          </w:rPr>
          <w:fldChar w:fldCharType="separate"/>
        </w:r>
        <w:r>
          <w:rPr>
            <w:noProof/>
            <w:webHidden/>
          </w:rPr>
          <w:t>5</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79" w:history="1">
        <w:r w:rsidRPr="00961AE8">
          <w:rPr>
            <w:rStyle w:val="Hyperlink"/>
            <w:noProof/>
          </w:rPr>
          <w:t>9.</w:t>
        </w:r>
        <w:r>
          <w:rPr>
            <w:rFonts w:asciiTheme="minorHAnsi" w:eastAsiaTheme="minorEastAsia" w:hAnsiTheme="minorHAnsi" w:cstheme="minorBidi"/>
            <w:noProof/>
            <w:sz w:val="22"/>
            <w:szCs w:val="22"/>
          </w:rPr>
          <w:tab/>
        </w:r>
        <w:r w:rsidRPr="00961AE8">
          <w:rPr>
            <w:rStyle w:val="Hyperlink"/>
            <w:noProof/>
          </w:rPr>
          <w:t>Construction Over or Adjacent to Navigable Waters.</w:t>
        </w:r>
        <w:r>
          <w:rPr>
            <w:noProof/>
            <w:webHidden/>
          </w:rPr>
          <w:tab/>
        </w:r>
        <w:r>
          <w:rPr>
            <w:noProof/>
            <w:webHidden/>
          </w:rPr>
          <w:fldChar w:fldCharType="begin"/>
        </w:r>
        <w:r>
          <w:rPr>
            <w:noProof/>
            <w:webHidden/>
          </w:rPr>
          <w:instrText xml:space="preserve"> PAGEREF _Toc488312179 \h </w:instrText>
        </w:r>
        <w:r>
          <w:rPr>
            <w:noProof/>
            <w:webHidden/>
          </w:rPr>
        </w:r>
        <w:r>
          <w:rPr>
            <w:noProof/>
            <w:webHidden/>
          </w:rPr>
          <w:fldChar w:fldCharType="separate"/>
        </w:r>
        <w:r>
          <w:rPr>
            <w:noProof/>
            <w:webHidden/>
          </w:rPr>
          <w:t>6</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80" w:history="1">
        <w:r w:rsidRPr="00961AE8">
          <w:rPr>
            <w:rStyle w:val="Hyperlink"/>
            <w:noProof/>
          </w:rPr>
          <w:t>10.</w:t>
        </w:r>
        <w:r>
          <w:rPr>
            <w:rFonts w:asciiTheme="minorHAnsi" w:eastAsiaTheme="minorEastAsia" w:hAnsiTheme="minorHAnsi" w:cstheme="minorBidi"/>
            <w:noProof/>
            <w:sz w:val="22"/>
            <w:szCs w:val="22"/>
          </w:rPr>
          <w:tab/>
        </w:r>
        <w:r w:rsidRPr="00961AE8">
          <w:rPr>
            <w:rStyle w:val="Hyperlink"/>
            <w:noProof/>
          </w:rPr>
          <w:t>Erosion Control Structures.</w:t>
        </w:r>
        <w:r>
          <w:rPr>
            <w:noProof/>
            <w:webHidden/>
          </w:rPr>
          <w:tab/>
        </w:r>
        <w:r>
          <w:rPr>
            <w:noProof/>
            <w:webHidden/>
          </w:rPr>
          <w:fldChar w:fldCharType="begin"/>
        </w:r>
        <w:r>
          <w:rPr>
            <w:noProof/>
            <w:webHidden/>
          </w:rPr>
          <w:instrText xml:space="preserve"> PAGEREF _Toc488312180 \h </w:instrText>
        </w:r>
        <w:r>
          <w:rPr>
            <w:noProof/>
            <w:webHidden/>
          </w:rPr>
        </w:r>
        <w:r>
          <w:rPr>
            <w:noProof/>
            <w:webHidden/>
          </w:rPr>
          <w:fldChar w:fldCharType="separate"/>
        </w:r>
        <w:r>
          <w:rPr>
            <w:noProof/>
            <w:webHidden/>
          </w:rPr>
          <w:t>6</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81" w:history="1">
        <w:r w:rsidRPr="00961AE8">
          <w:rPr>
            <w:rStyle w:val="Hyperlink"/>
            <w:noProof/>
          </w:rPr>
          <w:t>11.</w:t>
        </w:r>
        <w:r>
          <w:rPr>
            <w:rFonts w:asciiTheme="minorHAnsi" w:eastAsiaTheme="minorEastAsia" w:hAnsiTheme="minorHAnsi" w:cstheme="minorBidi"/>
            <w:noProof/>
            <w:sz w:val="22"/>
            <w:szCs w:val="22"/>
          </w:rPr>
          <w:tab/>
        </w:r>
        <w:r w:rsidRPr="00961AE8">
          <w:rPr>
            <w:rStyle w:val="Hyperlink"/>
            <w:noProof/>
          </w:rPr>
          <w:t>Notice to Contractor, Notification of Demolition and/or Renovation No Asbestos Found.</w:t>
        </w:r>
        <w:r>
          <w:rPr>
            <w:noProof/>
            <w:webHidden/>
          </w:rPr>
          <w:tab/>
        </w:r>
        <w:r>
          <w:rPr>
            <w:noProof/>
            <w:webHidden/>
          </w:rPr>
          <w:fldChar w:fldCharType="begin"/>
        </w:r>
        <w:r>
          <w:rPr>
            <w:noProof/>
            <w:webHidden/>
          </w:rPr>
          <w:instrText xml:space="preserve"> PAGEREF _Toc488312181 \h </w:instrText>
        </w:r>
        <w:r>
          <w:rPr>
            <w:noProof/>
            <w:webHidden/>
          </w:rPr>
        </w:r>
        <w:r>
          <w:rPr>
            <w:noProof/>
            <w:webHidden/>
          </w:rPr>
          <w:fldChar w:fldCharType="separate"/>
        </w:r>
        <w:r>
          <w:rPr>
            <w:noProof/>
            <w:webHidden/>
          </w:rPr>
          <w:t>6</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82" w:history="1">
        <w:r w:rsidRPr="00961AE8">
          <w:rPr>
            <w:rStyle w:val="Hyperlink"/>
            <w:noProof/>
          </w:rPr>
          <w:t>12.</w:t>
        </w:r>
        <w:r>
          <w:rPr>
            <w:rFonts w:asciiTheme="minorHAnsi" w:eastAsiaTheme="minorEastAsia" w:hAnsiTheme="minorHAnsi" w:cstheme="minorBidi"/>
            <w:noProof/>
            <w:sz w:val="22"/>
            <w:szCs w:val="22"/>
          </w:rPr>
          <w:tab/>
        </w:r>
        <w:r w:rsidRPr="00961AE8">
          <w:rPr>
            <w:rStyle w:val="Hyperlink"/>
            <w:noProof/>
          </w:rPr>
          <w:t>Removing Old Structure Over Waterway With Minimal Debris Station 20+00, Item 203.0600.S.</w:t>
        </w:r>
        <w:r>
          <w:rPr>
            <w:noProof/>
            <w:webHidden/>
          </w:rPr>
          <w:tab/>
        </w:r>
        <w:r>
          <w:rPr>
            <w:noProof/>
            <w:webHidden/>
          </w:rPr>
          <w:fldChar w:fldCharType="begin"/>
        </w:r>
        <w:r>
          <w:rPr>
            <w:noProof/>
            <w:webHidden/>
          </w:rPr>
          <w:instrText xml:space="preserve"> PAGEREF _Toc488312182 \h </w:instrText>
        </w:r>
        <w:r>
          <w:rPr>
            <w:noProof/>
            <w:webHidden/>
          </w:rPr>
        </w:r>
        <w:r>
          <w:rPr>
            <w:noProof/>
            <w:webHidden/>
          </w:rPr>
          <w:fldChar w:fldCharType="separate"/>
        </w:r>
        <w:r>
          <w:rPr>
            <w:noProof/>
            <w:webHidden/>
          </w:rPr>
          <w:t>7</w:t>
        </w:r>
        <w:r>
          <w:rPr>
            <w:noProof/>
            <w:webHidden/>
          </w:rPr>
          <w:fldChar w:fldCharType="end"/>
        </w:r>
      </w:hyperlink>
    </w:p>
    <w:p w:rsidR="00212A62" w:rsidRDefault="00212A62">
      <w:pPr>
        <w:pStyle w:val="TOC1"/>
        <w:rPr>
          <w:rFonts w:asciiTheme="minorHAnsi" w:eastAsiaTheme="minorEastAsia" w:hAnsiTheme="minorHAnsi" w:cstheme="minorBidi"/>
          <w:noProof/>
          <w:sz w:val="22"/>
          <w:szCs w:val="22"/>
        </w:rPr>
      </w:pPr>
      <w:hyperlink w:anchor="_Toc488312183" w:history="1">
        <w:r w:rsidRPr="00961AE8">
          <w:rPr>
            <w:rStyle w:val="Hyperlink"/>
            <w:noProof/>
          </w:rPr>
          <w:t>13.</w:t>
        </w:r>
        <w:r>
          <w:rPr>
            <w:rFonts w:asciiTheme="minorHAnsi" w:eastAsiaTheme="minorEastAsia" w:hAnsiTheme="minorHAnsi" w:cstheme="minorBidi"/>
            <w:noProof/>
            <w:sz w:val="22"/>
            <w:szCs w:val="22"/>
          </w:rPr>
          <w:tab/>
        </w:r>
        <w:r w:rsidRPr="00961AE8">
          <w:rPr>
            <w:rStyle w:val="Hyperlink"/>
            <w:noProof/>
          </w:rPr>
          <w:t>QMP Base Aggregate.</w:t>
        </w:r>
        <w:r>
          <w:rPr>
            <w:noProof/>
            <w:webHidden/>
          </w:rPr>
          <w:tab/>
        </w:r>
        <w:r>
          <w:rPr>
            <w:noProof/>
            <w:webHidden/>
          </w:rPr>
          <w:fldChar w:fldCharType="begin"/>
        </w:r>
        <w:r>
          <w:rPr>
            <w:noProof/>
            <w:webHidden/>
          </w:rPr>
          <w:instrText xml:space="preserve"> PAGEREF _Toc488312183 \h </w:instrText>
        </w:r>
        <w:r>
          <w:rPr>
            <w:noProof/>
            <w:webHidden/>
          </w:rPr>
        </w:r>
        <w:r>
          <w:rPr>
            <w:noProof/>
            <w:webHidden/>
          </w:rPr>
          <w:fldChar w:fldCharType="separate"/>
        </w:r>
        <w:r>
          <w:rPr>
            <w:noProof/>
            <w:webHidden/>
          </w:rPr>
          <w:t>8</w:t>
        </w:r>
        <w:r>
          <w:rPr>
            <w:noProof/>
            <w:webHidden/>
          </w:rPr>
          <w:fldChar w:fldCharType="end"/>
        </w:r>
      </w:hyperlink>
    </w:p>
    <w:p w:rsidR="00323052" w:rsidRDefault="00FC4660">
      <w:pPr>
        <w:rPr>
          <w:noProof/>
        </w:rPr>
        <w:sectPr w:rsidR="00323052">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323052" w:rsidRDefault="00323052"/>
    <w:p w:rsidR="00323052" w:rsidRDefault="00BE2267">
      <w:pPr>
        <w:jc w:val="right"/>
      </w:pPr>
      <w:r>
        <w:t>STSP’S Revised</w:t>
      </w:r>
      <w:r w:rsidR="005613B9">
        <w:t xml:space="preserve"> November 30, 2016</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0" w:name="_Toc488312171"/>
      <w:r>
        <w:t>General.</w:t>
      </w:r>
      <w:bookmarkEnd w:id="0"/>
    </w:p>
    <w:p w:rsidR="00323052" w:rsidRDefault="00BE2267">
      <w:r>
        <w:t xml:space="preserve">Perform the work under this construction contract for Project </w:t>
      </w:r>
      <w:r w:rsidR="002010DD">
        <w:t>6188-01-</w:t>
      </w:r>
      <w:r w:rsidR="00A43CE3">
        <w:t>71</w:t>
      </w:r>
      <w:r w:rsidR="002010DD">
        <w:t>, T Rosendale, Olden Road, Fond du Lac River Bridge, Fond du Lac County</w:t>
      </w:r>
      <w:r>
        <w:t>, Wisconsin as the plans show and execute the work as specified in the State of Wisconsin, Department of Transportation, Standard Specifications for Highway and Structure Construction, 201</w:t>
      </w:r>
      <w:r w:rsidR="00C81360">
        <w:t>8</w:t>
      </w:r>
      <w:r>
        <w:t xml:space="preserve"> Edition, as published by the department, and these special provisions.</w:t>
      </w:r>
    </w:p>
    <w:p w:rsidR="00323052" w:rsidRDefault="00323052"/>
    <w:p w:rsidR="00323052" w:rsidRDefault="00BE2267">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
        <w:t>100-005 (201</w:t>
      </w:r>
      <w:r w:rsidR="005613B9">
        <w:t>61130</w:t>
      </w:r>
      <w:r w:rsidR="00BE2267">
        <w:t>)</w:t>
      </w:r>
    </w:p>
    <w:p w:rsidR="00323052" w:rsidRDefault="00BE2267">
      <w:pPr>
        <w:pStyle w:val="1Heading1"/>
      </w:pPr>
      <w:bookmarkStart w:id="1" w:name="_Toc488312172"/>
      <w:r>
        <w:t>Scope of Work.</w:t>
      </w:r>
      <w:bookmarkEnd w:id="1"/>
    </w:p>
    <w:p w:rsidR="00323052" w:rsidRDefault="00BE2267">
      <w:r>
        <w:t xml:space="preserve">The work under this contract shall consist of </w:t>
      </w:r>
      <w:r w:rsidR="002010DD">
        <w:t>grading, base aggregate dense, asphaltic surface, steel plate beam guard, structure B-20-230</w:t>
      </w:r>
      <w:r>
        <w:t xml:space="preserve"> and all incidental items necessary to complete the work as shown on the plans and included in the proposal and contract.</w:t>
      </w:r>
    </w:p>
    <w:p w:rsidR="00323052" w:rsidRDefault="00BE2267">
      <w:r>
        <w:t>104-005 (20090901)</w:t>
      </w:r>
    </w:p>
    <w:p w:rsidR="00323052" w:rsidRDefault="00BE2267">
      <w:pPr>
        <w:pStyle w:val="1Heading1"/>
      </w:pPr>
      <w:bookmarkStart w:id="2" w:name="_Toc488312173"/>
      <w:r>
        <w:t>Prosecution and Progress.</w:t>
      </w:r>
      <w:bookmarkEnd w:id="2"/>
    </w:p>
    <w:p w:rsidR="002010DD" w:rsidRDefault="00BE2267" w:rsidP="00F814E8">
      <w:r w:rsidRPr="00C158F5">
        <w:t>Begin work within ten calendar days after the engineer issues a written notice to do so.</w:t>
      </w:r>
      <w:r w:rsidR="00C158F5" w:rsidRPr="00C158F5">
        <w:t xml:space="preserve"> </w:t>
      </w:r>
      <w:r w:rsidR="002010DD">
        <w:t xml:space="preserve">Provide the time frame for construction of the project within the </w:t>
      </w:r>
      <w:r w:rsidR="00A43CE3">
        <w:t>2018</w:t>
      </w:r>
      <w:r w:rsidR="002010DD">
        <w:t xml:space="preserve">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2010DD" w:rsidRDefault="002010DD" w:rsidP="00F814E8"/>
    <w:p w:rsidR="002010DD" w:rsidRDefault="002010DD" w:rsidP="00F814E8">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2010DD" w:rsidRDefault="002010DD" w:rsidP="00AB30BD"/>
    <w:p w:rsidR="002010DD" w:rsidRDefault="002010DD" w:rsidP="00F814E8">
      <w:pPr>
        <w:rPr>
          <w:b/>
        </w:rPr>
      </w:pPr>
      <w:r>
        <w:rPr>
          <w:b/>
        </w:rPr>
        <w:t>Fish Spawning</w:t>
      </w:r>
    </w:p>
    <w:p w:rsidR="002010DD" w:rsidRDefault="002010DD" w:rsidP="00F814E8">
      <w:r>
        <w:t xml:space="preserve">There shall be no instream disturbance of the Fond du Lac River as a result of construction activity under or for this contract, </w:t>
      </w:r>
      <w:sdt>
        <w:sdtPr>
          <w:id w:val="64095942"/>
          <w:placeholder>
            <w:docPart w:val="B0494FE0D456440B89F0264F868BAA35"/>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t>from March 1st to June 15th both dates inclusive</w:t>
          </w:r>
        </w:sdtContent>
      </w:sdt>
      <w:r>
        <w:t xml:space="preserve">, in order to avoid adverse impacts upon </w:t>
      </w:r>
      <w:r w:rsidR="00A43CE3">
        <w:t>developing fish eggs and substrate for aquatic organisms</w:t>
      </w:r>
      <w:r>
        <w:t>.</w:t>
      </w:r>
    </w:p>
    <w:p w:rsidR="002010DD" w:rsidRDefault="002010DD" w:rsidP="00F814E8"/>
    <w:p w:rsidR="002010DD" w:rsidRDefault="002010DD" w:rsidP="009A4065">
      <w:pPr>
        <w:keepLines/>
      </w:pPr>
      <w:r>
        <w:lastRenderedPageBreak/>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2010DD" w:rsidRDefault="002010DD" w:rsidP="00F814E8">
      <w:r>
        <w:t>Fish (20090901)</w:t>
      </w:r>
    </w:p>
    <w:p w:rsidR="002010DD" w:rsidRPr="0066040B" w:rsidRDefault="002010DD" w:rsidP="00F814E8"/>
    <w:p w:rsidR="002010DD" w:rsidRPr="008E3970" w:rsidRDefault="002010DD" w:rsidP="00F814E8">
      <w:pPr>
        <w:rPr>
          <w:rFonts w:eastAsia="Times New Roman"/>
          <w:b/>
          <w:bCs/>
          <w:i/>
          <w:iCs/>
        </w:rPr>
      </w:pPr>
      <w:r w:rsidRPr="008E3970">
        <w:rPr>
          <w:rFonts w:eastAsia="Times New Roman"/>
          <w:b/>
          <w:bCs/>
        </w:rPr>
        <w:t xml:space="preserve">Northern Long-eared Bat </w:t>
      </w:r>
      <w:r w:rsidRPr="008E3970">
        <w:rPr>
          <w:rFonts w:eastAsia="Times New Roman"/>
          <w:bCs/>
        </w:rPr>
        <w:t>(</w:t>
      </w:r>
      <w:proofErr w:type="spellStart"/>
      <w:r w:rsidRPr="008E3970">
        <w:rPr>
          <w:rFonts w:eastAsia="Times New Roman"/>
          <w:i/>
          <w:iCs/>
        </w:rPr>
        <w:t>Myotis</w:t>
      </w:r>
      <w:proofErr w:type="spellEnd"/>
      <w:r w:rsidRPr="008E3970">
        <w:rPr>
          <w:rFonts w:eastAsia="Times New Roman"/>
          <w:i/>
          <w:iCs/>
        </w:rPr>
        <w:t xml:space="preserve"> </w:t>
      </w:r>
      <w:proofErr w:type="spellStart"/>
      <w:r w:rsidRPr="008E3970">
        <w:rPr>
          <w:rFonts w:eastAsia="Times New Roman"/>
          <w:i/>
          <w:iCs/>
        </w:rPr>
        <w:t>septentrionalis</w:t>
      </w:r>
      <w:proofErr w:type="spellEnd"/>
      <w:r w:rsidRPr="008E3970">
        <w:rPr>
          <w:rFonts w:eastAsia="Times New Roman"/>
          <w:iCs/>
        </w:rPr>
        <w:t>)</w:t>
      </w:r>
    </w:p>
    <w:p w:rsidR="002010DD" w:rsidRPr="008E3970" w:rsidRDefault="002010DD" w:rsidP="00F814E8">
      <w:pPr>
        <w:rPr>
          <w:rFonts w:eastAsia="Times New Roman"/>
        </w:rPr>
      </w:pPr>
      <w:r w:rsidRPr="008E3970">
        <w:rPr>
          <w:rFonts w:eastAsia="Times New Roman"/>
        </w:rP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rPr>
          <w:rFonts w:eastAsia="Times New Roman"/>
        </w:rPr>
        <w:t>Regional Environmental Coordinator (REC).</w:t>
      </w:r>
    </w:p>
    <w:p w:rsidR="002010DD" w:rsidRDefault="002010DD" w:rsidP="00F814E8">
      <w:pPr>
        <w:rPr>
          <w:rFonts w:eastAsia="Times New Roman"/>
        </w:rPr>
      </w:pPr>
    </w:p>
    <w:p w:rsidR="002010DD" w:rsidRDefault="002010DD" w:rsidP="00F814E8">
      <w:r w:rsidRPr="00A148F6">
        <w:t xml:space="preserve">In accordance </w:t>
      </w:r>
      <w:r>
        <w:t>to</w:t>
      </w:r>
      <w:r w:rsidRPr="00A148F6">
        <w:t xml:space="preserve"> the final 4(d) rule issued for the </w:t>
      </w:r>
      <w:r>
        <w:t>NLEB</w:t>
      </w:r>
      <w:r w:rsidRPr="00A148F6">
        <w:t xml:space="preserve">, </w:t>
      </w:r>
      <w:r>
        <w:t>the department</w:t>
      </w:r>
      <w:r w:rsidRPr="00A148F6">
        <w:t xml:space="preserve"> has determined that the proposed activity may affect, but will not result in prohibited take of the NLEB. The activity involves tree removal, but will not occur within 0.25 miles of a known hibernacula, nor will the activity remove a known maternity roost tree or any other tree within 150 feet of a known maternity roost tree</w:t>
      </w:r>
      <w:r>
        <w:t>.</w:t>
      </w:r>
    </w:p>
    <w:p w:rsidR="002010DD" w:rsidRDefault="002010DD" w:rsidP="00F814E8"/>
    <w:p w:rsidR="002010DD" w:rsidRPr="008E3970" w:rsidRDefault="002010DD" w:rsidP="00F814E8">
      <w:pPr>
        <w:rPr>
          <w:rFonts w:eastAsia="Times New Roman"/>
        </w:rPr>
      </w:pPr>
      <w:r w:rsidRPr="008E3970">
        <w:rPr>
          <w:rFonts w:eastAsia="Times New Roman"/>
        </w:rPr>
        <w:t xml:space="preserve">If additional trees need to be removed, no </w:t>
      </w:r>
      <w:r>
        <w:rPr>
          <w:rFonts w:eastAsia="Times New Roman"/>
        </w:rPr>
        <w:t>C</w:t>
      </w:r>
      <w:r w:rsidRPr="008E3970">
        <w:rPr>
          <w:rFonts w:eastAsia="Times New Roman"/>
        </w:rPr>
        <w:t xml:space="preserve">learing shall occur without prior approval from the </w:t>
      </w:r>
      <w:r>
        <w:rPr>
          <w:rFonts w:eastAsia="Times New Roman"/>
        </w:rPr>
        <w:t xml:space="preserve">engineer, following coordination with the </w:t>
      </w:r>
      <w:r w:rsidRPr="008E3970">
        <w:rPr>
          <w:rFonts w:eastAsia="Times New Roman"/>
        </w:rPr>
        <w:t>WisDOT REC. Additional tree removal beyond the area originally specified will require consultation with the United States Fish and Wildlife Service (USFWS) and may require a bat presence/abs</w:t>
      </w:r>
      <w:r>
        <w:rPr>
          <w:rFonts w:eastAsia="Times New Roman"/>
        </w:rPr>
        <w:t xml:space="preserve">ence survey. Notify the </w:t>
      </w:r>
      <w:r w:rsidRPr="008E3970">
        <w:rPr>
          <w:rFonts w:eastAsia="Times New Roman"/>
        </w:rPr>
        <w:t xml:space="preserve">engineer if additional </w:t>
      </w:r>
      <w:r>
        <w:rPr>
          <w:rFonts w:eastAsia="Times New Roman"/>
        </w:rPr>
        <w:t>C</w:t>
      </w:r>
      <w:r w:rsidRPr="008E3970">
        <w:rPr>
          <w:rFonts w:eastAsia="Times New Roman"/>
        </w:rPr>
        <w:t>learing cannot be avoided to begin coordination with the WisDOT REC. The WisDOT REC will initiate consultation with the USFWS and determine if a survey is necessary.</w:t>
      </w:r>
    </w:p>
    <w:p w:rsidR="002010DD" w:rsidRDefault="002010DD" w:rsidP="00F814E8">
      <w:pPr>
        <w:rPr>
          <w:rFonts w:eastAsia="Times New Roman"/>
        </w:rPr>
      </w:pPr>
    </w:p>
    <w:p w:rsidR="002010DD" w:rsidRPr="008E3970" w:rsidRDefault="002010DD" w:rsidP="00F814E8">
      <w:pPr>
        <w:rPr>
          <w:rFonts w:eastAsia="Times New Roman"/>
        </w:rPr>
      </w:pPr>
      <w:r w:rsidRPr="008E3970">
        <w:rPr>
          <w:rFonts w:eastAsia="Times New Roman"/>
        </w:rPr>
        <w:t xml:space="preserve">Submit a schedule and description of </w:t>
      </w:r>
      <w:proofErr w:type="gramStart"/>
      <w:r w:rsidRPr="008E3970">
        <w:rPr>
          <w:rFonts w:eastAsia="Times New Roman"/>
        </w:rPr>
        <w:t>Clearing</w:t>
      </w:r>
      <w:proofErr w:type="gramEnd"/>
      <w:r>
        <w:rPr>
          <w:rFonts w:eastAsia="Times New Roman"/>
        </w:rPr>
        <w:t xml:space="preserve"> </w:t>
      </w:r>
      <w:r w:rsidRPr="008E3970">
        <w:rPr>
          <w:rFonts w:eastAsia="Times New Roman"/>
        </w:rPr>
        <w:t>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rsidR="008A7BA3" w:rsidRPr="008A7BA3" w:rsidRDefault="008A7BA3" w:rsidP="008A7BA3">
      <w:pPr>
        <w:pStyle w:val="1Heading1"/>
      </w:pPr>
      <w:bookmarkStart w:id="3" w:name="_Toc488312174"/>
      <w:r>
        <w:t>Traffic.</w:t>
      </w:r>
      <w:bookmarkEnd w:id="3"/>
    </w:p>
    <w:p w:rsidR="00B43EFE" w:rsidRDefault="008A7BA3" w:rsidP="008A7BA3">
      <w:r>
        <w:t>Olden Road will be closed to through traffic.  A detour will not be provided during construction.</w:t>
      </w:r>
    </w:p>
    <w:p w:rsidR="00CE3E95" w:rsidRDefault="00CE3E95" w:rsidP="00CE3E95">
      <w:pPr>
        <w:pStyle w:val="1Heading1"/>
      </w:pPr>
      <w:bookmarkStart w:id="4" w:name="_Toc488312175"/>
      <w:r>
        <w:t>Utilities.</w:t>
      </w:r>
      <w:bookmarkEnd w:id="4"/>
    </w:p>
    <w:p w:rsidR="00CE3E95" w:rsidRDefault="00CE3E95" w:rsidP="00CE3E95">
      <w:r>
        <w:t>This contract does not come under the provision of Administrative Rule Trans 220.</w:t>
      </w:r>
    </w:p>
    <w:p w:rsidR="00CE3E95" w:rsidRDefault="00CE3E95" w:rsidP="00CE3E95">
      <w:proofErr w:type="gramStart"/>
      <w:r>
        <w:t>stp-107-065</w:t>
      </w:r>
      <w:proofErr w:type="gramEnd"/>
      <w:r>
        <w:t xml:space="preserve"> (20080501)</w:t>
      </w:r>
    </w:p>
    <w:p w:rsidR="00CE3E95" w:rsidRDefault="00CE3E95" w:rsidP="00CE3E95"/>
    <w:p w:rsidR="00CE3E95" w:rsidRDefault="00CE3E95" w:rsidP="00CE3E95">
      <w:pPr>
        <w:keepNext/>
        <w:keepLines/>
      </w:pPr>
      <w:r>
        <w:lastRenderedPageBreak/>
        <w:t>T</w:t>
      </w:r>
      <w:r w:rsidRPr="00607BC5">
        <w:t>here are utility facilities within the construction limits of this project.  Coordinate construction activities with a call to Diggers Hotline or a direct call to the utilities for the underground facilities in the area, as required per statutes.  Take all required precautions when working within 18-inches of underground utilities.  Use caution to maintain the integrity of underground utilities and maintain OSHA code clearances from</w:t>
      </w:r>
      <w:r>
        <w:t xml:space="preserve"> overhead facilities at all times.</w:t>
      </w:r>
    </w:p>
    <w:p w:rsidR="00CE3E95" w:rsidRDefault="00CE3E95" w:rsidP="00CE3E95"/>
    <w:p w:rsidR="00CE3E95" w:rsidRDefault="00CE3E95" w:rsidP="00CE3E95">
      <w:pPr>
        <w:rPr>
          <w:rFonts w:eastAsia="Calibri"/>
        </w:rPr>
      </w:pPr>
      <w:r>
        <w:rPr>
          <w:rFonts w:eastAsia="Calibri"/>
        </w:rPr>
        <w:t>Contact each utility company listed in the plans, prior to preparing bids, to obtain current information on the status of existing and any new utility relocation work.</w:t>
      </w:r>
    </w:p>
    <w:p w:rsidR="00CE3E95" w:rsidRDefault="00CE3E95" w:rsidP="00CE3E95"/>
    <w:p w:rsidR="00213B3E" w:rsidRDefault="00213B3E" w:rsidP="00213B3E">
      <w:pPr>
        <w:rPr>
          <w:highlight w:val="yellow"/>
        </w:rPr>
      </w:pPr>
      <w:r>
        <w:rPr>
          <w:b/>
          <w:bCs/>
        </w:rPr>
        <w:t>CenturyLink</w:t>
      </w:r>
      <w:r>
        <w:t xml:space="preserve"> has buried and overhead communication facilities located along the north side of the project within right-of-way for the entire length of the project.  The buried facilities are located from the beginning of the project to 19+36 and from 20+74 to the end of the project.  The buried facilities are located approximately 13’ to 20’ left of centerline.  The overhead facilities are located between approximately 19+36, 22’ LT and 20+74, 25’ LT.  </w:t>
      </w:r>
    </w:p>
    <w:p w:rsidR="00213B3E" w:rsidRDefault="00213B3E" w:rsidP="00213B3E">
      <w:pPr>
        <w:rPr>
          <w:rFonts w:ascii="Calibri" w:hAnsi="Calibri"/>
          <w:sz w:val="22"/>
          <w:szCs w:val="22"/>
        </w:rPr>
      </w:pPr>
    </w:p>
    <w:p w:rsidR="00213B3E" w:rsidRDefault="00213B3E" w:rsidP="00213B3E">
      <w:r>
        <w:t xml:space="preserve">CenturyLink will place new buried facilities just inside the north right-of-way, outside the limits of construction, and will remove the overhead facilities and poles.  CenturyLink will relocate the pedestal at 19+36, LT to the north right-of-way line, outside the limits of construction.  CenturyLink </w:t>
      </w:r>
      <w:r w:rsidR="00F52140">
        <w:t xml:space="preserve">will complete </w:t>
      </w:r>
      <w:r w:rsidR="00C67B2B">
        <w:t xml:space="preserve">their </w:t>
      </w:r>
      <w:r>
        <w:t xml:space="preserve">relocations </w:t>
      </w:r>
      <w:r w:rsidR="00F52140">
        <w:t>by May 31,</w:t>
      </w:r>
      <w:r>
        <w:t xml:space="preserve"> 2018.  </w:t>
      </w:r>
    </w:p>
    <w:p w:rsidR="00213B3E" w:rsidRDefault="00213B3E" w:rsidP="00213B3E"/>
    <w:p w:rsidR="00CE3E95" w:rsidRDefault="00213B3E" w:rsidP="00213B3E">
      <w:r>
        <w:t xml:space="preserve">CenturyLink’s contact person is </w:t>
      </w:r>
      <w:r w:rsidR="00F52140">
        <w:t>T</w:t>
      </w:r>
      <w:r w:rsidR="00F52140" w:rsidRPr="00F52140">
        <w:t>im Kroeze</w:t>
      </w:r>
      <w:r w:rsidRPr="00F52140">
        <w:t>, (</w:t>
      </w:r>
      <w:r w:rsidR="00F52140" w:rsidRPr="00F52140">
        <w:t>920</w:t>
      </w:r>
      <w:r w:rsidRPr="00F52140">
        <w:t xml:space="preserve">) </w:t>
      </w:r>
      <w:r w:rsidR="00F52140" w:rsidRPr="00F52140">
        <w:t>326</w:t>
      </w:r>
      <w:r w:rsidRPr="00F52140">
        <w:t>-</w:t>
      </w:r>
      <w:r w:rsidR="00F52140" w:rsidRPr="00F52140">
        <w:t>2224</w:t>
      </w:r>
      <w:r w:rsidRPr="00F52140">
        <w:t>.</w:t>
      </w:r>
    </w:p>
    <w:p w:rsidR="00CE3E95" w:rsidRDefault="00CE3E95" w:rsidP="00CE3E95">
      <w:pPr>
        <w:pStyle w:val="1Heading1"/>
      </w:pPr>
      <w:bookmarkStart w:id="5" w:name="_Toc488312176"/>
      <w:r>
        <w:t>Information to Bidders, U.S. Army Corps of Engineers Section 404 Permit.</w:t>
      </w:r>
      <w:bookmarkEnd w:id="5"/>
    </w:p>
    <w:p w:rsidR="00CE3E95" w:rsidRPr="000A4852" w:rsidRDefault="00072FAE" w:rsidP="00072FAE">
      <w:pPr>
        <w:rPr>
          <w:highlight w:val="yellow"/>
        </w:rPr>
      </w:pPr>
      <w:r>
        <w:t xml:space="preserve">The project falls under the Maintenance Activity </w:t>
      </w:r>
      <w:r w:rsidR="00DC69F7">
        <w:t xml:space="preserve">category (1.a.1) </w:t>
      </w:r>
      <w:r>
        <w:t>of the U. S. Army Corps of Engineers GP-00</w:t>
      </w:r>
      <w:r w:rsidR="00DC69F7">
        <w:t>2</w:t>
      </w:r>
      <w:r>
        <w:t xml:space="preserve">-WI permit, </w:t>
      </w:r>
      <w:r w:rsidR="00DC69F7">
        <w:t>which is a non-reporting permit</w:t>
      </w:r>
      <w:r>
        <w:t>.  Comply with the requirements of the permit in addition to requirements of the contrac</w:t>
      </w:r>
      <w:r w:rsidRPr="00072FAE">
        <w:t xml:space="preserve">t.  </w:t>
      </w:r>
      <w:r w:rsidR="00CE3E95" w:rsidRPr="00072FAE">
        <w:t xml:space="preserve">A copy of the permit is available from the regional office by contacting </w:t>
      </w:r>
      <w:r w:rsidR="007C66A7">
        <w:t>Brian Edwards</w:t>
      </w:r>
      <w:r w:rsidR="00CE3E95" w:rsidRPr="00072FAE">
        <w:t xml:space="preserve">, </w:t>
      </w:r>
      <w:r w:rsidR="007C66A7">
        <w:t>WisDOT-NER, at 920-360</w:t>
      </w:r>
      <w:r w:rsidR="00CE3E95" w:rsidRPr="00072FAE">
        <w:t>-</w:t>
      </w:r>
      <w:r w:rsidR="007C66A7">
        <w:t>2801 or brian.edwards@dot.wi.gov</w:t>
      </w:r>
      <w:r w:rsidR="00CE3E95" w:rsidRPr="00072FAE">
        <w:t>.</w:t>
      </w:r>
    </w:p>
    <w:p w:rsidR="008A7BA3" w:rsidRDefault="008A7BA3" w:rsidP="009A4065">
      <w:pPr>
        <w:pStyle w:val="1Heading1"/>
        <w:keepNext/>
        <w:keepLines/>
      </w:pPr>
      <w:bookmarkStart w:id="6" w:name="_Toc488312177"/>
      <w:r>
        <w:t>Environmental Protection, Aquatic Exotic Species Control.</w:t>
      </w:r>
      <w:bookmarkEnd w:id="6"/>
    </w:p>
    <w:p w:rsidR="008A7BA3" w:rsidRDefault="008A7BA3" w:rsidP="009A4065">
      <w:pPr>
        <w:keepNext/>
        <w:keepLines/>
      </w:pPr>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8A7BA3" w:rsidRDefault="008A7BA3"/>
    <w:p w:rsidR="008A7BA3" w:rsidRDefault="008A7BA3">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8A7BA3" w:rsidRDefault="008A7BA3"/>
    <w:p w:rsidR="008A7BA3" w:rsidRDefault="008A7BA3">
      <w:r>
        <w:t xml:space="preserve">Ensure that all equipment that has been in contact with waters of the state, or with infested or potentially infested waters, has been decontaminated for aquatic plant materials and zebra </w:t>
      </w:r>
      <w:r>
        <w:lastRenderedPageBreak/>
        <w:t xml:space="preserve">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r w:rsidRPr="008A7BA3">
        <w:t>http://dnr.wi.gov/topic/fishing/documents/vhs/disinfection_protocols.pdf</w:t>
      </w:r>
      <w:r>
        <w:t xml:space="preserve"> for disinfection:</w:t>
      </w:r>
    </w:p>
    <w:p w:rsidR="008A7BA3" w:rsidRDefault="008A7BA3"/>
    <w:p w:rsidR="008A7BA3" w:rsidRDefault="008A7BA3" w:rsidP="008A7BA3">
      <w:pPr>
        <w:pStyle w:val="ListParagraph"/>
        <w:numPr>
          <w:ilvl w:val="0"/>
          <w:numId w:val="27"/>
        </w:numPr>
        <w:tabs>
          <w:tab w:val="left" w:pos="720"/>
          <w:tab w:val="left" w:pos="1080"/>
          <w:tab w:val="center" w:pos="4680"/>
          <w:tab w:val="right" w:pos="9360"/>
        </w:tabs>
        <w:ind w:left="1080"/>
        <w:jc w:val="left"/>
      </w:pPr>
      <w:r>
        <w:t>Prior to leaving the contaminated site, wash machinery and ensure that the machinery is free of all soil and other substances that could possibly contain exotic invasive species;</w:t>
      </w:r>
    </w:p>
    <w:p w:rsidR="008A7BA3" w:rsidRDefault="008A7BA3" w:rsidP="008A7BA3">
      <w:pPr>
        <w:pStyle w:val="ListParagraph"/>
        <w:numPr>
          <w:ilvl w:val="0"/>
          <w:numId w:val="27"/>
        </w:numPr>
        <w:tabs>
          <w:tab w:val="left" w:pos="720"/>
          <w:tab w:val="left" w:pos="1080"/>
          <w:tab w:val="center" w:pos="4680"/>
          <w:tab w:val="right" w:pos="9360"/>
        </w:tabs>
        <w:ind w:left="1080"/>
        <w:jc w:val="left"/>
      </w:pPr>
      <w:r>
        <w:t>Drain all water from boats, trailers, bilges, live wells, coolers, bait buckets, engine compartments, and any other area where water may be trapped;</w:t>
      </w:r>
    </w:p>
    <w:p w:rsidR="008A7BA3" w:rsidRDefault="008A7BA3" w:rsidP="008A7BA3">
      <w:pPr>
        <w:pStyle w:val="ListParagraph"/>
        <w:numPr>
          <w:ilvl w:val="0"/>
          <w:numId w:val="27"/>
        </w:numPr>
        <w:tabs>
          <w:tab w:val="left" w:pos="720"/>
          <w:tab w:val="left" w:pos="1080"/>
          <w:tab w:val="center" w:pos="4680"/>
          <w:tab w:val="right" w:pos="9360"/>
        </w:tabs>
        <w:ind w:left="1080"/>
        <w:jc w:val="left"/>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8A7BA3" w:rsidRDefault="008A7BA3" w:rsidP="008A7BA3">
      <w:pPr>
        <w:pStyle w:val="ListParagraph"/>
        <w:numPr>
          <w:ilvl w:val="0"/>
          <w:numId w:val="27"/>
        </w:numPr>
        <w:tabs>
          <w:tab w:val="left" w:pos="720"/>
          <w:tab w:val="left" w:pos="1080"/>
          <w:tab w:val="center" w:pos="4680"/>
          <w:tab w:val="right" w:pos="9360"/>
        </w:tabs>
        <w:ind w:left="1080"/>
        <w:jc w:val="left"/>
      </w:pPr>
      <w:r>
        <w:t>Disinfect your boat, equipment and gear by either:</w:t>
      </w:r>
    </w:p>
    <w:p w:rsidR="008A7BA3" w:rsidRDefault="008A7BA3" w:rsidP="008A7BA3">
      <w:pPr>
        <w:pStyle w:val="ListParagraph"/>
        <w:numPr>
          <w:ilvl w:val="1"/>
          <w:numId w:val="27"/>
        </w:numPr>
        <w:tabs>
          <w:tab w:val="left" w:pos="720"/>
          <w:tab w:val="left" w:pos="1080"/>
          <w:tab w:val="center" w:pos="4680"/>
          <w:tab w:val="right" w:pos="9360"/>
        </w:tabs>
        <w:ind w:left="1800"/>
        <w:jc w:val="left"/>
      </w:pPr>
      <w:r>
        <w:t>Washing with ~212º F water (steam clean), or</w:t>
      </w:r>
    </w:p>
    <w:p w:rsidR="008A7BA3" w:rsidRDefault="008A7BA3" w:rsidP="008A7BA3">
      <w:pPr>
        <w:pStyle w:val="ListParagraph"/>
        <w:numPr>
          <w:ilvl w:val="1"/>
          <w:numId w:val="27"/>
        </w:numPr>
        <w:tabs>
          <w:tab w:val="left" w:pos="720"/>
          <w:tab w:val="left" w:pos="1080"/>
          <w:tab w:val="center" w:pos="4680"/>
          <w:tab w:val="right" w:pos="9360"/>
        </w:tabs>
        <w:ind w:left="1800"/>
        <w:jc w:val="left"/>
      </w:pPr>
      <w:r>
        <w:t>Drying thoroughly for five days after cleaning with soap and water and/or high pressure water, or</w:t>
      </w:r>
    </w:p>
    <w:p w:rsidR="008A7BA3" w:rsidRDefault="008A7BA3" w:rsidP="008A7BA3">
      <w:pPr>
        <w:pStyle w:val="ListParagraph"/>
        <w:numPr>
          <w:ilvl w:val="1"/>
          <w:numId w:val="27"/>
        </w:numPr>
        <w:tabs>
          <w:tab w:val="left" w:pos="720"/>
          <w:tab w:val="left" w:pos="1080"/>
          <w:tab w:val="center" w:pos="4680"/>
          <w:tab w:val="right" w:pos="9360"/>
        </w:tabs>
        <w:ind w:left="1800"/>
        <w:jc w:val="left"/>
      </w:pPr>
      <w:r>
        <w:t xml:space="preserve">Disinfecting with either 200 ppm (0.5 </w:t>
      </w:r>
      <w:proofErr w:type="spellStart"/>
      <w:r>
        <w:t>oz</w:t>
      </w:r>
      <w:proofErr w:type="spellEnd"/>
      <w:r>
        <w:t xml:space="preserve"> per gallon or 1 Tablespoon per gallon) Chlorine for 10-minute contact time or 1:100 solution (38 grams per gallon) of </w:t>
      </w:r>
      <w:proofErr w:type="spellStart"/>
      <w:r>
        <w:t>Virkon</w:t>
      </w:r>
      <w:proofErr w:type="spellEnd"/>
      <w:r>
        <w:t xml:space="preserve"> Aquatic for 20- to 30-minute contact time. Note: </w:t>
      </w:r>
      <w:proofErr w:type="spellStart"/>
      <w:r>
        <w:t>Virkon</w:t>
      </w:r>
      <w:proofErr w:type="spellEnd"/>
      <w:r>
        <w:t xml:space="preserve"> is not registered to kill zebra mussel </w:t>
      </w:r>
      <w:proofErr w:type="spellStart"/>
      <w:r>
        <w:t>veligers</w:t>
      </w:r>
      <w:proofErr w:type="spellEnd"/>
      <w:r>
        <w:t xml:space="preserve"> nor invertebrates like spiny water flea. Therefore this disinfect should be used in conjunction with a hot water (&gt;104º F) application.</w:t>
      </w:r>
    </w:p>
    <w:p w:rsidR="008A7BA3" w:rsidRDefault="008A7BA3"/>
    <w:p w:rsidR="008A7BA3" w:rsidRDefault="008A7BA3">
      <w:r>
        <w:t>Complete the inspection and removal procedure before equipment is brought to the project site and before the equipment leaves the project site.</w:t>
      </w:r>
    </w:p>
    <w:p w:rsidR="008A7BA3" w:rsidRDefault="008A7BA3">
      <w:proofErr w:type="gramStart"/>
      <w:r>
        <w:t>stp-107-055</w:t>
      </w:r>
      <w:proofErr w:type="gramEnd"/>
      <w:r>
        <w:t xml:space="preserve"> (20130615)</w:t>
      </w:r>
    </w:p>
    <w:p w:rsidR="00CE3E95" w:rsidRDefault="00CE3E95" w:rsidP="009A4065">
      <w:pPr>
        <w:pStyle w:val="1Heading1"/>
        <w:keepNext/>
        <w:keepLines/>
      </w:pPr>
      <w:bookmarkStart w:id="7" w:name="_Toc488312178"/>
      <w:r>
        <w:t>Environmental Protection – Dewatering.</w:t>
      </w:r>
      <w:bookmarkEnd w:id="7"/>
    </w:p>
    <w:p w:rsidR="00CE3E95" w:rsidRPr="00F36E4D" w:rsidRDefault="00CE3E95" w:rsidP="009A4065">
      <w:pPr>
        <w:keepNext/>
        <w:keepLines/>
        <w:autoSpaceDE w:val="0"/>
        <w:autoSpaceDN w:val="0"/>
        <w:adjustRightInd w:val="0"/>
        <w:rPr>
          <w:i/>
          <w:iCs/>
          <w:color w:val="000000"/>
        </w:rPr>
      </w:pPr>
      <w:r w:rsidRPr="00F36E4D">
        <w:rPr>
          <w:i/>
          <w:iCs/>
          <w:color w:val="000000"/>
        </w:rPr>
        <w:t>Supplement subsection 107.18 of the standard specifications as follows:</w:t>
      </w:r>
    </w:p>
    <w:p w:rsidR="00CE3E95" w:rsidRPr="00F36E4D" w:rsidRDefault="00CE3E95" w:rsidP="009A4065">
      <w:pPr>
        <w:keepNext/>
        <w:keepLines/>
        <w:autoSpaceDE w:val="0"/>
        <w:autoSpaceDN w:val="0"/>
        <w:adjustRightInd w:val="0"/>
        <w:jc w:val="left"/>
        <w:rPr>
          <w:color w:val="000000"/>
        </w:rPr>
      </w:pPr>
      <w:r w:rsidRPr="00F36E4D">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t>
      </w:r>
      <w:proofErr w:type="spellStart"/>
      <w:r w:rsidRPr="00F36E4D">
        <w:rPr>
          <w:color w:val="000000"/>
        </w:rPr>
        <w:t>WisDNR</w:t>
      </w:r>
      <w:proofErr w:type="spellEnd"/>
      <w:r w:rsidRPr="00F36E4D">
        <w:rPr>
          <w:color w:val="000000"/>
        </w:rPr>
        <w:t xml:space="preserve"> website:  </w:t>
      </w:r>
      <w:r w:rsidRPr="00C30D90">
        <w:rPr>
          <w:sz w:val="22"/>
          <w:szCs w:val="22"/>
          <w:u w:val="single"/>
        </w:rPr>
        <w:t>http://dnr.wi.gov/topic/stormwater/standards/const_standards.html</w:t>
      </w:r>
      <w:r w:rsidRPr="00F36E4D">
        <w:rPr>
          <w:color w:val="000000"/>
        </w:rPr>
        <w:t xml:space="preserve">  </w:t>
      </w:r>
    </w:p>
    <w:p w:rsidR="00CE3E95" w:rsidRPr="00F36E4D" w:rsidRDefault="00CE3E95" w:rsidP="00CE3E95">
      <w:pPr>
        <w:autoSpaceDE w:val="0"/>
        <w:autoSpaceDN w:val="0"/>
        <w:adjustRightInd w:val="0"/>
        <w:jc w:val="left"/>
        <w:rPr>
          <w:color w:val="000000"/>
        </w:rPr>
      </w:pPr>
    </w:p>
    <w:p w:rsidR="00CE3E95" w:rsidRPr="00F36E4D" w:rsidRDefault="00CE3E95" w:rsidP="00CE3E95">
      <w:pPr>
        <w:autoSpaceDE w:val="0"/>
        <w:autoSpaceDN w:val="0"/>
        <w:adjustRightInd w:val="0"/>
        <w:jc w:val="left"/>
        <w:rPr>
          <w:color w:val="000000"/>
        </w:rPr>
      </w:pPr>
      <w:r w:rsidRPr="00F36E4D">
        <w:rPr>
          <w:color w:val="000000"/>
        </w:rPr>
        <w:lastRenderedPageBreak/>
        <w:t>The cost of all work and materials associated with water treatment and/or dewatering is incidental to the bid items the work is associated.</w:t>
      </w:r>
    </w:p>
    <w:p w:rsidR="00CE3E95" w:rsidRDefault="00CE3E95" w:rsidP="00CE3E95">
      <w:pPr>
        <w:rPr>
          <w:color w:val="000000"/>
        </w:rPr>
      </w:pPr>
      <w:r w:rsidRPr="00F36E4D">
        <w:rPr>
          <w:color w:val="000000"/>
        </w:rPr>
        <w:t>(NER12-1010</w:t>
      </w:r>
      <w:r>
        <w:rPr>
          <w:color w:val="000000"/>
        </w:rPr>
        <w:t>)</w:t>
      </w:r>
    </w:p>
    <w:p w:rsidR="008A7BA3" w:rsidRDefault="008A7BA3">
      <w:pPr>
        <w:pStyle w:val="1Heading1"/>
      </w:pPr>
      <w:bookmarkStart w:id="8" w:name="_Toc488312179"/>
      <w:r>
        <w:t>Construction Over or Adjacent to Navigable Waters.</w:t>
      </w:r>
      <w:bookmarkEnd w:id="8"/>
    </w:p>
    <w:p w:rsidR="008A7BA3" w:rsidRDefault="008A7BA3">
      <w:pPr>
        <w:rPr>
          <w:i/>
        </w:rPr>
      </w:pPr>
      <w:r>
        <w:rPr>
          <w:i/>
        </w:rPr>
        <w:t>Add the following to standard spec 107.19:</w:t>
      </w:r>
    </w:p>
    <w:p w:rsidR="008A7BA3" w:rsidRDefault="008A7BA3"/>
    <w:p w:rsidR="008A7BA3" w:rsidRDefault="008A7BA3">
      <w:r>
        <w:t xml:space="preserve">The </w:t>
      </w:r>
      <w:r w:rsidR="000A4852">
        <w:t>Fond du Lac River</w:t>
      </w:r>
      <w:r>
        <w:t xml:space="preserve"> is classified as a navigable waterway.</w:t>
      </w:r>
    </w:p>
    <w:p w:rsidR="008A7BA3" w:rsidRDefault="008A7BA3">
      <w:proofErr w:type="gramStart"/>
      <w:r>
        <w:t>stp-107-060</w:t>
      </w:r>
      <w:proofErr w:type="gramEnd"/>
      <w:r>
        <w:t xml:space="preserve"> (20150630)</w:t>
      </w:r>
    </w:p>
    <w:p w:rsidR="008A7BA3" w:rsidRDefault="008A7BA3">
      <w:pPr>
        <w:pStyle w:val="1Heading1"/>
      </w:pPr>
      <w:bookmarkStart w:id="9" w:name="_Toc488312180"/>
      <w:r>
        <w:t>Erosion Control Structures.</w:t>
      </w:r>
      <w:bookmarkEnd w:id="9"/>
    </w:p>
    <w:p w:rsidR="008A7BA3" w:rsidRDefault="008A7BA3">
      <w:r>
        <w:t xml:space="preserve">Within seven calendar days after the commencement of work on the bridge superstructure, place all permanent erosion control devices, including riprap, erosion mat, ditch checks, seed, fertilizer, mulch, soil stabilizer, or any other item required by the contract or deemed necessary by the engineer. These devices shall be in place in the area under the bridge and on both sides of the roadway, from the waterway to a point 100-feet behind the </w:t>
      </w:r>
      <w:proofErr w:type="spellStart"/>
      <w:r>
        <w:t>backwall</w:t>
      </w:r>
      <w:proofErr w:type="spellEnd"/>
      <w:r>
        <w:t xml:space="preserve"> of the abutment. Within said limits, place these devices to a height equivalent to the calculated water elevation resulting from a storm that occurs on the average of once every two years (Q2) as shown on the plan, or as directed by the engineer. Prior to initial construction operations, place turbidity barriers, silt screens, and other temporary erosion control measures as shown on the plans, and remove them after the permanent erosion control devices are in place unless directed otherwise by the engineer.</w:t>
      </w:r>
    </w:p>
    <w:p w:rsidR="008A7BA3" w:rsidRDefault="008A7BA3"/>
    <w:p w:rsidR="008A7BA3" w:rsidRDefault="008A7BA3">
      <w:r>
        <w:t>In the event that construction activity does not disturb the existing ground below the Q2 elevation, the above timing requirements for permanent erosion control shall be waived.</w:t>
      </w:r>
    </w:p>
    <w:p w:rsidR="008A7BA3" w:rsidRDefault="008A7BA3">
      <w:proofErr w:type="gramStart"/>
      <w:r>
        <w:t>stp-107-070</w:t>
      </w:r>
      <w:proofErr w:type="gramEnd"/>
      <w:r>
        <w:t xml:space="preserve"> (20030820)</w:t>
      </w:r>
    </w:p>
    <w:p w:rsidR="008A7BA3" w:rsidRDefault="008A7BA3">
      <w:pPr>
        <w:pStyle w:val="1Heading1"/>
      </w:pPr>
      <w:bookmarkStart w:id="10" w:name="_Toc488312181"/>
      <w:r>
        <w:t>Notice to Contractor, Notification of Demolition and/or Renovation No Asbestos Found.</w:t>
      </w:r>
      <w:bookmarkEnd w:id="10"/>
    </w:p>
    <w:p w:rsidR="008A7BA3" w:rsidRDefault="008A7BA3">
      <w:r>
        <w:t xml:space="preserve">John </w:t>
      </w:r>
      <w:proofErr w:type="spellStart"/>
      <w:r>
        <w:t>Roelke</w:t>
      </w:r>
      <w:proofErr w:type="spellEnd"/>
      <w:r>
        <w:t xml:space="preserve">, License Number AII-119523, inspected Structure P-20-0919 for asbestos on August 20, 2015. No regulated Asbestos Containing Material (RACM) was found on this structure. A copy of the inspection report is available from: </w:t>
      </w:r>
      <w:r w:rsidR="007C66A7">
        <w:t>Brian Edwards, WisDOT-NER</w:t>
      </w:r>
      <w:r>
        <w:t>, 920-</w:t>
      </w:r>
      <w:r w:rsidR="007C66A7">
        <w:t>360</w:t>
      </w:r>
      <w:r>
        <w:t>-</w:t>
      </w:r>
      <w:r w:rsidR="007C66A7">
        <w:t>2801</w:t>
      </w:r>
      <w:r w:rsidR="00FE1EAA">
        <w:t xml:space="preserve">, </w:t>
      </w:r>
      <w:bookmarkStart w:id="11" w:name="_GoBack"/>
      <w:r w:rsidR="007C66A7">
        <w:t>brian</w:t>
      </w:r>
      <w:bookmarkEnd w:id="11"/>
      <w:r w:rsidR="007C66A7">
        <w:t>.edwards</w:t>
      </w:r>
      <w:r w:rsidR="00FE1EAA">
        <w:t>@</w:t>
      </w:r>
      <w:r w:rsidR="007C66A7">
        <w:t>dot.wi.gov</w:t>
      </w:r>
      <w:r>
        <w:t xml:space="preserve">. </w:t>
      </w:r>
    </w:p>
    <w:p w:rsidR="008A7BA3" w:rsidRDefault="008A7BA3"/>
    <w:p w:rsidR="008A7BA3" w:rsidRDefault="008A7BA3">
      <w:r>
        <w:t xml:space="preserve">In accordance with NR447 and </w:t>
      </w:r>
      <w:proofErr w:type="gramStart"/>
      <w:r>
        <w:t>DHS159 ,</w:t>
      </w:r>
      <w:proofErr w:type="gramEnd"/>
      <w:r>
        <w:t xml:space="preserve"> ensure that DNR or DHS receives a completed Notification of Demolition and/or Renovation (DNR Form 4500-113 (R 4/11), or subsequent revision) via U.S. mail, hand-delivery, or using the online notification system at least 10 working days prior to beginning any construction or demolition. Pay all associated fees. Provide a copy of the completed 4500-113 form to </w:t>
      </w:r>
      <w:r w:rsidR="00A43CE3">
        <w:t>Rich Glen</w:t>
      </w:r>
      <w:r w:rsidR="00C50413">
        <w:t>, JT Engineering, 920-468-4771</w:t>
      </w:r>
      <w:r>
        <w:t xml:space="preserve"> and DOT BTS-ESS </w:t>
      </w:r>
      <w:proofErr w:type="spellStart"/>
      <w:r>
        <w:t>attn:</w:t>
      </w:r>
      <w:proofErr w:type="spellEnd"/>
      <w:r>
        <w:t xml:space="preserve">  Hazardous Materials Specialist PO Box 7965, Madison, WI. 53707-7965. In addition, comply with all local or municipal asbestos requirements.</w:t>
      </w:r>
    </w:p>
    <w:p w:rsidR="008A7BA3" w:rsidRDefault="008A7BA3">
      <w:r>
        <w:t>Use the following information t</w:t>
      </w:r>
      <w:r w:rsidR="00A43CE3">
        <w:t xml:space="preserve">o complete </w:t>
      </w:r>
      <w:proofErr w:type="spellStart"/>
      <w:r w:rsidR="00A43CE3">
        <w:t>WisDNR</w:t>
      </w:r>
      <w:proofErr w:type="spellEnd"/>
      <w:r w:rsidR="00A43CE3">
        <w:t xml:space="preserve"> form 4500-113</w:t>
      </w:r>
      <w:r>
        <w:t>:</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 xml:space="preserve">Site Name: </w:t>
      </w:r>
      <w:r w:rsidR="00705298">
        <w:t xml:space="preserve"> </w:t>
      </w:r>
      <w:r>
        <w:t xml:space="preserve">Structure </w:t>
      </w:r>
      <w:r w:rsidR="00F814E8">
        <w:t>P-20-0919</w:t>
      </w:r>
      <w:r>
        <w:t xml:space="preserve">, </w:t>
      </w:r>
      <w:r w:rsidR="00F814E8">
        <w:t xml:space="preserve">Olden Road </w:t>
      </w:r>
      <w:r>
        <w:t xml:space="preserve">over </w:t>
      </w:r>
      <w:r w:rsidR="00F814E8">
        <w:t>Fond du Lac River</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lastRenderedPageBreak/>
        <w:t xml:space="preserve">Site Address: </w:t>
      </w:r>
      <w:r w:rsidR="00705298">
        <w:t xml:space="preserve"> </w:t>
      </w:r>
      <w:r w:rsidR="00F814E8">
        <w:t>Section 15, T16N, R15E</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 xml:space="preserve">Ownership Information: </w:t>
      </w:r>
      <w:r w:rsidR="00705298">
        <w:t xml:space="preserve"> </w:t>
      </w:r>
      <w:r w:rsidR="00F814E8">
        <w:t>Town of Rosendale, W11324 Rose-</w:t>
      </w:r>
      <w:proofErr w:type="spellStart"/>
      <w:r w:rsidR="00F814E8">
        <w:t>Eld</w:t>
      </w:r>
      <w:proofErr w:type="spellEnd"/>
      <w:r w:rsidR="00F814E8">
        <w:t xml:space="preserve"> Road, Ripon, WI 54971</w:t>
      </w:r>
    </w:p>
    <w:p w:rsidR="00705298" w:rsidRDefault="008A7BA3" w:rsidP="008A7BA3">
      <w:pPr>
        <w:pStyle w:val="ListParagraph"/>
        <w:numPr>
          <w:ilvl w:val="0"/>
          <w:numId w:val="28"/>
        </w:numPr>
        <w:tabs>
          <w:tab w:val="num" w:pos="360"/>
          <w:tab w:val="left" w:pos="720"/>
          <w:tab w:val="left" w:pos="1080"/>
          <w:tab w:val="center" w:pos="4680"/>
          <w:tab w:val="right" w:pos="9360"/>
        </w:tabs>
        <w:jc w:val="left"/>
      </w:pPr>
      <w:r>
        <w:t xml:space="preserve">Contact: </w:t>
      </w:r>
      <w:r w:rsidR="00705298">
        <w:t xml:space="preserve"> </w:t>
      </w:r>
      <w:r w:rsidR="007C66A7">
        <w:t>Brian Edwards</w:t>
      </w:r>
      <w:r w:rsidR="00705298">
        <w:t xml:space="preserve">, </w:t>
      </w:r>
      <w:r w:rsidR="007C66A7">
        <w:t>WisDOT-NER</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 xml:space="preserve">Phone: </w:t>
      </w:r>
      <w:r w:rsidR="007C66A7">
        <w:t xml:space="preserve"> 920-360-2801</w:t>
      </w:r>
      <w:r>
        <w:t xml:space="preserve"> </w:t>
      </w:r>
    </w:p>
    <w:p w:rsidR="00705298" w:rsidRDefault="00705298" w:rsidP="00705298">
      <w:pPr>
        <w:pStyle w:val="ListParagraph"/>
        <w:numPr>
          <w:ilvl w:val="0"/>
          <w:numId w:val="28"/>
        </w:numPr>
        <w:tabs>
          <w:tab w:val="num" w:pos="360"/>
          <w:tab w:val="left" w:pos="720"/>
          <w:tab w:val="left" w:pos="1080"/>
          <w:tab w:val="center" w:pos="4680"/>
          <w:tab w:val="right" w:pos="9360"/>
        </w:tabs>
        <w:jc w:val="left"/>
      </w:pPr>
      <w:r>
        <w:t xml:space="preserve">Email:  </w:t>
      </w:r>
      <w:r w:rsidR="007C66A7">
        <w:t>brian.edwards</w:t>
      </w:r>
      <w:r>
        <w:t>@</w:t>
      </w:r>
      <w:r w:rsidR="007C66A7">
        <w:t>dot.wi.gov</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 xml:space="preserve">Age: </w:t>
      </w:r>
      <w:r w:rsidR="00705298">
        <w:t xml:space="preserve"> </w:t>
      </w:r>
      <w:r>
        <w:t xml:space="preserve">This structure was constructed in </w:t>
      </w:r>
      <w:r w:rsidR="00F814E8">
        <w:t>1950</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 xml:space="preserve">Area: </w:t>
      </w:r>
      <w:r w:rsidR="00705298">
        <w:t xml:space="preserve"> </w:t>
      </w:r>
      <w:r w:rsidR="00F814E8">
        <w:t>598</w:t>
      </w:r>
      <w:r>
        <w:t xml:space="preserve"> SF of deck</w:t>
      </w:r>
    </w:p>
    <w:p w:rsidR="008A7BA3" w:rsidRDefault="008A7BA3"/>
    <w:p w:rsidR="008A7BA3" w:rsidRDefault="008A7BA3">
      <w:r>
        <w:t>Insert the following paragraph in Section 6.g.:</w:t>
      </w:r>
    </w:p>
    <w:p w:rsidR="008A7BA3" w:rsidRDefault="008A7BA3" w:rsidP="008A7BA3">
      <w:pPr>
        <w:pStyle w:val="ListParagraph"/>
        <w:numPr>
          <w:ilvl w:val="0"/>
          <w:numId w:val="28"/>
        </w:numPr>
        <w:tabs>
          <w:tab w:val="num" w:pos="360"/>
          <w:tab w:val="left" w:pos="720"/>
          <w:tab w:val="left" w:pos="1080"/>
          <w:tab w:val="center" w:pos="4680"/>
          <w:tab w:val="right" w:pos="9360"/>
        </w:tabs>
        <w:jc w:val="left"/>
      </w:pPr>
      <w:r>
        <w:t>If asbestos not previously identified is found or previously non-friable asbestos becomes crumbled, pulverized, or reduced to a powder, stop work immediately, notify the engineer, and the engineer will notify the department’s Bureau of Technical Services at 608-266-1476 for an emergency response in accordance to standard spec 107.24. Keep material wet until it is abated or until it is determined to be non-asbestos containing material.</w:t>
      </w:r>
    </w:p>
    <w:p w:rsidR="008A7BA3" w:rsidRDefault="008A7BA3">
      <w:proofErr w:type="gramStart"/>
      <w:r>
        <w:t>stp-107-125</w:t>
      </w:r>
      <w:proofErr w:type="gramEnd"/>
      <w:r>
        <w:t xml:space="preserve"> (20120615)</w:t>
      </w:r>
    </w:p>
    <w:p w:rsidR="00F814E8" w:rsidRPr="007A5C88" w:rsidRDefault="00F814E8">
      <w:pPr>
        <w:pStyle w:val="1Heading1"/>
        <w:jc w:val="both"/>
      </w:pPr>
      <w:bookmarkStart w:id="12" w:name="_Toc488312182"/>
      <w:r>
        <w:t>Removing Old Str</w:t>
      </w:r>
      <w:r w:rsidRPr="007A5C88">
        <w:t xml:space="preserve">ucture Over Waterway </w:t>
      </w:r>
      <w:proofErr w:type="gramStart"/>
      <w:r w:rsidRPr="007A5C88">
        <w:t>With</w:t>
      </w:r>
      <w:proofErr w:type="gramEnd"/>
      <w:r w:rsidRPr="007A5C88">
        <w:t xml:space="preserve"> Minimal Debris Station </w:t>
      </w:r>
      <w:r w:rsidR="007A5C88" w:rsidRPr="007A5C88">
        <w:t>20+00</w:t>
      </w:r>
      <w:r w:rsidRPr="007A5C88">
        <w:t>, Item 203.0600.S.</w:t>
      </w:r>
      <w:bookmarkEnd w:id="12"/>
    </w:p>
    <w:p w:rsidR="00F814E8" w:rsidRDefault="00F814E8">
      <w:r>
        <w:t>Conform to standard spec 203 as modified in this special provision.</w:t>
      </w:r>
    </w:p>
    <w:p w:rsidR="00F814E8" w:rsidRDefault="00F814E8"/>
    <w:p w:rsidR="00F814E8" w:rsidRDefault="00F814E8">
      <w:pPr>
        <w:rPr>
          <w:i/>
        </w:rPr>
      </w:pPr>
      <w:r>
        <w:rPr>
          <w:i/>
        </w:rPr>
        <w:t>Add the following to standard spec 203:</w:t>
      </w:r>
    </w:p>
    <w:p w:rsidR="00F814E8" w:rsidRDefault="00F814E8"/>
    <w:p w:rsidR="00F814E8" w:rsidRDefault="00F814E8">
      <w:pPr>
        <w:rPr>
          <w:b/>
        </w:rPr>
      </w:pPr>
      <w:proofErr w:type="gramStart"/>
      <w:r>
        <w:rPr>
          <w:b/>
        </w:rPr>
        <w:t>203.3.6  Removals</w:t>
      </w:r>
      <w:proofErr w:type="gramEnd"/>
      <w:r>
        <w:rPr>
          <w:b/>
        </w:rPr>
        <w:t xml:space="preserve"> Over Waterways and Wetlands</w:t>
      </w:r>
    </w:p>
    <w:p w:rsidR="00F814E8" w:rsidRDefault="00F814E8" w:rsidP="009A4065">
      <w:pPr>
        <w:keepNext/>
        <w:keepLines/>
      </w:pPr>
      <w:proofErr w:type="gramStart"/>
      <w:r>
        <w:rPr>
          <w:b/>
        </w:rPr>
        <w:t>203.3.6.2  Removing</w:t>
      </w:r>
      <w:proofErr w:type="gramEnd"/>
      <w:r>
        <w:rPr>
          <w:b/>
        </w:rPr>
        <w:t xml:space="preserve"> Old Structure Over Waterway with Minimal Debris</w:t>
      </w:r>
    </w:p>
    <w:p w:rsidR="00F814E8" w:rsidRDefault="00F814E8" w:rsidP="009A4065">
      <w:pPr>
        <w:keepNext/>
        <w:keepLines/>
        <w:tabs>
          <w:tab w:val="left" w:pos="1080"/>
        </w:tabs>
        <w:ind w:left="1080" w:hanging="360"/>
      </w:pPr>
      <w:r>
        <w:rPr>
          <w:vertAlign w:val="subscript"/>
        </w:rPr>
        <w:t>(1)</w:t>
      </w:r>
      <w:r>
        <w:rPr>
          <w:vertAlign w:val="subscript"/>
        </w:rPr>
        <w:tab/>
      </w:r>
      <w:r>
        <w:t>Remove the existing structure P-20-0919 over the Fond du Lac River in large sections and conforming to the contractor’s approved structure removal and clean-up plan. During superstructure removal, prevent all large pieces and minimize the number of small pieces from entering the waterway or wetland. Remove all reinforcing steel, all concrete, and all other debris that falls into the waterway or wetland. The contractor may leave limited amounts of small concrete pieces scattered over the waterway floor or wetland only if the engineer allows.</w:t>
      </w:r>
    </w:p>
    <w:p w:rsidR="00F814E8" w:rsidRDefault="00F814E8"/>
    <w:p w:rsidR="00F814E8" w:rsidRDefault="00F814E8">
      <w:pPr>
        <w:tabs>
          <w:tab w:val="left" w:pos="1080"/>
        </w:tabs>
        <w:ind w:left="1080" w:hanging="360"/>
      </w:pPr>
      <w:r>
        <w:rPr>
          <w:vertAlign w:val="subscript"/>
        </w:rPr>
        <w:t>(2)</w:t>
      </w:r>
      <w:r>
        <w:rPr>
          <w:vertAlign w:val="subscript"/>
        </w:rPr>
        <w:tab/>
      </w:r>
      <w:r>
        <w:t xml:space="preserve">Submit a structure removal and clean-up plan as part of the erosion control implementation plan required under standard spec 107.20. Do not start work under the structure removal and clean-up plan without the department’s written approval of the </w:t>
      </w:r>
      <w:proofErr w:type="gramStart"/>
      <w:r>
        <w:t>plan.</w:t>
      </w:r>
      <w:proofErr w:type="gramEnd"/>
      <w:r>
        <w:t xml:space="preserve"> Include the following information in the structure removal and clean-up plan:</w:t>
      </w:r>
    </w:p>
    <w:p w:rsidR="00F814E8" w:rsidRDefault="00F814E8" w:rsidP="00F814E8">
      <w:pPr>
        <w:pStyle w:val="ListParagraph"/>
        <w:numPr>
          <w:ilvl w:val="0"/>
          <w:numId w:val="44"/>
        </w:numPr>
        <w:tabs>
          <w:tab w:val="left" w:pos="720"/>
          <w:tab w:val="left" w:pos="1080"/>
          <w:tab w:val="center" w:pos="4680"/>
          <w:tab w:val="right" w:pos="9360"/>
        </w:tabs>
        <w:jc w:val="left"/>
      </w:pPr>
      <w:r>
        <w:t>Methods and schedule to remove the structure.</w:t>
      </w:r>
    </w:p>
    <w:p w:rsidR="00F814E8" w:rsidRDefault="00F814E8" w:rsidP="00F814E8">
      <w:pPr>
        <w:pStyle w:val="ListParagraph"/>
        <w:numPr>
          <w:ilvl w:val="0"/>
          <w:numId w:val="44"/>
        </w:numPr>
        <w:tabs>
          <w:tab w:val="left" w:pos="720"/>
          <w:tab w:val="left" w:pos="1080"/>
          <w:tab w:val="center" w:pos="4680"/>
          <w:tab w:val="right" w:pos="9360"/>
        </w:tabs>
        <w:jc w:val="left"/>
      </w:pPr>
      <w:r>
        <w:t>Methods to control potentially harmful environmental impacts.</w:t>
      </w:r>
    </w:p>
    <w:p w:rsidR="00F814E8" w:rsidRDefault="00F814E8" w:rsidP="00F814E8">
      <w:pPr>
        <w:pStyle w:val="ListParagraph"/>
        <w:numPr>
          <w:ilvl w:val="0"/>
          <w:numId w:val="44"/>
        </w:numPr>
        <w:tabs>
          <w:tab w:val="left" w:pos="720"/>
          <w:tab w:val="left" w:pos="1080"/>
          <w:tab w:val="center" w:pos="4680"/>
          <w:tab w:val="right" w:pos="9360"/>
        </w:tabs>
        <w:jc w:val="left"/>
      </w:pPr>
      <w:r>
        <w:t>Methods for superstructure removal that prevent all large pieces and minimize the number of small pieces from entering the waterway or wetlands.</w:t>
      </w:r>
    </w:p>
    <w:p w:rsidR="00F814E8" w:rsidRDefault="00F814E8" w:rsidP="00F814E8">
      <w:pPr>
        <w:pStyle w:val="ListParagraph"/>
        <w:numPr>
          <w:ilvl w:val="0"/>
          <w:numId w:val="44"/>
        </w:numPr>
        <w:tabs>
          <w:tab w:val="left" w:pos="720"/>
          <w:tab w:val="left" w:pos="1080"/>
          <w:tab w:val="center" w:pos="4680"/>
          <w:tab w:val="right" w:pos="9360"/>
        </w:tabs>
        <w:jc w:val="left"/>
      </w:pPr>
      <w:r>
        <w:t>Methods to control dust and contain slurry.</w:t>
      </w:r>
    </w:p>
    <w:p w:rsidR="00F814E8" w:rsidRDefault="00F814E8" w:rsidP="00F814E8">
      <w:pPr>
        <w:pStyle w:val="ListParagraph"/>
        <w:numPr>
          <w:ilvl w:val="0"/>
          <w:numId w:val="44"/>
        </w:numPr>
        <w:tabs>
          <w:tab w:val="left" w:pos="720"/>
          <w:tab w:val="left" w:pos="1080"/>
          <w:tab w:val="center" w:pos="4680"/>
          <w:tab w:val="right" w:pos="9360"/>
        </w:tabs>
        <w:jc w:val="left"/>
      </w:pPr>
      <w:r>
        <w:t>Methods for removing piers and abutments. If blasting in water, include restrictions that regulatory agencies and the contract require.</w:t>
      </w:r>
    </w:p>
    <w:p w:rsidR="00F814E8" w:rsidRDefault="00F814E8" w:rsidP="00F814E8">
      <w:pPr>
        <w:pStyle w:val="ListParagraph"/>
        <w:numPr>
          <w:ilvl w:val="0"/>
          <w:numId w:val="44"/>
        </w:numPr>
        <w:tabs>
          <w:tab w:val="left" w:pos="720"/>
          <w:tab w:val="left" w:pos="1080"/>
          <w:tab w:val="center" w:pos="4680"/>
          <w:tab w:val="right" w:pos="9360"/>
        </w:tabs>
        <w:jc w:val="left"/>
      </w:pPr>
      <w:r>
        <w:lastRenderedPageBreak/>
        <w:t>Methods for cleaning the waterway or wetlands.</w:t>
      </w:r>
    </w:p>
    <w:p w:rsidR="00F814E8" w:rsidRDefault="00F814E8"/>
    <w:p w:rsidR="00F814E8" w:rsidRDefault="00F814E8">
      <w:pPr>
        <w:tabs>
          <w:tab w:val="left" w:pos="1080"/>
        </w:tabs>
        <w:ind w:left="1080" w:hanging="360"/>
      </w:pPr>
      <w:r>
        <w:rPr>
          <w:vertAlign w:val="subscript"/>
        </w:rPr>
        <w:t>(3)</w:t>
      </w:r>
      <w:r>
        <w:rPr>
          <w:vertAlign w:val="subscript"/>
        </w:rPr>
        <w:tab/>
      </w:r>
      <w:r>
        <w:t>If stockpiling spoil material, place it on an upland site an adequate distance from the waterway, wetland, or any open water created by excavation. Install silt fence between the spoil pile and the waterway, wetland, or excavation site.</w:t>
      </w:r>
    </w:p>
    <w:p w:rsidR="00F814E8" w:rsidRDefault="00F814E8">
      <w:pPr>
        <w:tabs>
          <w:tab w:val="left" w:pos="1080"/>
        </w:tabs>
        <w:ind w:left="1080" w:hanging="360"/>
      </w:pPr>
    </w:p>
    <w:p w:rsidR="00F814E8" w:rsidRDefault="00F814E8">
      <w:pPr>
        <w:rPr>
          <w:i/>
        </w:rPr>
      </w:pPr>
      <w:r>
        <w:rPr>
          <w:i/>
        </w:rPr>
        <w:t>Add the following Removing Old Structure bid item to standard spec 203.5.1:</w:t>
      </w:r>
    </w:p>
    <w:p w:rsidR="00F814E8" w:rsidRDefault="00F814E8"/>
    <w:tbl>
      <w:tblPr>
        <w:tblW w:w="0" w:type="auto"/>
        <w:tblInd w:w="828" w:type="dxa"/>
        <w:tblLook w:val="04A0" w:firstRow="1" w:lastRow="0" w:firstColumn="1" w:lastColumn="0" w:noHBand="0" w:noVBand="1"/>
      </w:tblPr>
      <w:tblGrid>
        <w:gridCol w:w="1879"/>
        <w:gridCol w:w="5946"/>
        <w:gridCol w:w="827"/>
      </w:tblGrid>
      <w:tr w:rsidR="00F814E8">
        <w:tc>
          <w:tcPr>
            <w:tcW w:w="1890" w:type="dxa"/>
          </w:tcPr>
          <w:p w:rsidR="00F814E8" w:rsidRDefault="00F814E8">
            <w:pPr>
              <w:pStyle w:val="STSP"/>
            </w:pPr>
            <w:r>
              <w:t>ITEM NUMBER</w:t>
            </w:r>
          </w:p>
        </w:tc>
        <w:tc>
          <w:tcPr>
            <w:tcW w:w="6030" w:type="dxa"/>
          </w:tcPr>
          <w:p w:rsidR="00F814E8" w:rsidRDefault="00F814E8">
            <w:pPr>
              <w:pStyle w:val="STSP"/>
            </w:pPr>
            <w:r>
              <w:t>DESCRIPTION</w:t>
            </w:r>
          </w:p>
        </w:tc>
        <w:tc>
          <w:tcPr>
            <w:tcW w:w="828" w:type="dxa"/>
          </w:tcPr>
          <w:p w:rsidR="00F814E8" w:rsidRDefault="00F814E8">
            <w:pPr>
              <w:pStyle w:val="STSP"/>
            </w:pPr>
            <w:r>
              <w:t>UNIT</w:t>
            </w:r>
          </w:p>
        </w:tc>
      </w:tr>
      <w:tr w:rsidR="00F814E8">
        <w:tc>
          <w:tcPr>
            <w:tcW w:w="1890" w:type="dxa"/>
          </w:tcPr>
          <w:p w:rsidR="00F814E8" w:rsidRDefault="00F814E8">
            <w:pPr>
              <w:pStyle w:val="STSP"/>
            </w:pPr>
            <w:r>
              <w:t>203.0600.S</w:t>
            </w:r>
          </w:p>
        </w:tc>
        <w:tc>
          <w:tcPr>
            <w:tcW w:w="6030" w:type="dxa"/>
          </w:tcPr>
          <w:p w:rsidR="00F814E8" w:rsidRDefault="00F814E8" w:rsidP="007A5C88">
            <w:pPr>
              <w:pStyle w:val="STSP"/>
            </w:pPr>
            <w:r>
              <w:t xml:space="preserve">Removing Old Structure Over Waterway With Minimal Debris Station  </w:t>
            </w:r>
            <w:r w:rsidR="007A5C88">
              <w:t>20+00</w:t>
            </w:r>
          </w:p>
        </w:tc>
        <w:tc>
          <w:tcPr>
            <w:tcW w:w="828" w:type="dxa"/>
          </w:tcPr>
          <w:p w:rsidR="00F814E8" w:rsidRDefault="00F814E8">
            <w:pPr>
              <w:pStyle w:val="STSP"/>
            </w:pPr>
            <w:r>
              <w:t>LS</w:t>
            </w:r>
          </w:p>
        </w:tc>
      </w:tr>
    </w:tbl>
    <w:p w:rsidR="00F814E8" w:rsidRDefault="00F814E8">
      <w:proofErr w:type="gramStart"/>
      <w:r>
        <w:t>stp-203-020</w:t>
      </w:r>
      <w:proofErr w:type="gramEnd"/>
      <w:r>
        <w:t xml:space="preserve"> (20080902)</w:t>
      </w:r>
    </w:p>
    <w:p w:rsidR="00716B0E" w:rsidRDefault="00716B0E" w:rsidP="00716B0E">
      <w:pPr>
        <w:pStyle w:val="1Heading1"/>
      </w:pPr>
      <w:bookmarkStart w:id="13" w:name="_Toc462055848"/>
      <w:bookmarkStart w:id="14" w:name="_Toc488312183"/>
      <w:r>
        <w:t>QMP Base Aggregate.</w:t>
      </w:r>
      <w:bookmarkEnd w:id="14"/>
    </w:p>
    <w:p w:rsidR="00716B0E" w:rsidRPr="00CC0BE8" w:rsidRDefault="00716B0E" w:rsidP="00716B0E">
      <w:pPr>
        <w:tabs>
          <w:tab w:val="left" w:pos="1080"/>
        </w:tabs>
        <w:ind w:left="1080" w:hanging="360"/>
        <w:rPr>
          <w:b/>
        </w:rPr>
      </w:pPr>
      <w:r w:rsidRPr="00CC0BE8">
        <w:rPr>
          <w:b/>
        </w:rPr>
        <w:t>A  Description</w:t>
      </w:r>
    </w:p>
    <w:p w:rsidR="00716B0E" w:rsidRPr="00CC0BE8" w:rsidRDefault="00716B0E" w:rsidP="00716B0E">
      <w:pPr>
        <w:tabs>
          <w:tab w:val="left" w:pos="1080"/>
        </w:tabs>
        <w:ind w:left="1080" w:hanging="360"/>
      </w:pPr>
      <w:proofErr w:type="gramStart"/>
      <w:r w:rsidRPr="00CC0BE8">
        <w:rPr>
          <w:b/>
        </w:rPr>
        <w:t>A.1  General</w:t>
      </w:r>
      <w:proofErr w:type="gramEnd"/>
    </w:p>
    <w:p w:rsidR="00716B0E" w:rsidRPr="00CC0BE8" w:rsidRDefault="00716B0E" w:rsidP="00716B0E">
      <w:pPr>
        <w:tabs>
          <w:tab w:val="left" w:pos="1080"/>
        </w:tabs>
        <w:ind w:left="1080" w:hanging="360"/>
      </w:pPr>
      <w:r w:rsidRPr="00CC0BE8">
        <w:rPr>
          <w:vertAlign w:val="subscript"/>
        </w:rPr>
        <w:t>(1)</w:t>
      </w:r>
      <w:r w:rsidRPr="00CC0BE8">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716B0E" w:rsidRPr="00CC0BE8" w:rsidRDefault="00716B0E" w:rsidP="00716B0E">
      <w:pPr>
        <w:tabs>
          <w:tab w:val="left" w:pos="1080"/>
        </w:tabs>
        <w:ind w:left="1080" w:hanging="360"/>
      </w:pPr>
    </w:p>
    <w:p w:rsidR="00716B0E" w:rsidRPr="00CC0BE8" w:rsidRDefault="00716B0E" w:rsidP="009A4065">
      <w:pPr>
        <w:keepNext/>
        <w:keepLines/>
        <w:tabs>
          <w:tab w:val="left" w:pos="1080"/>
        </w:tabs>
        <w:ind w:left="1080" w:hanging="360"/>
      </w:pPr>
      <w:r w:rsidRPr="00CC0BE8">
        <w:rPr>
          <w:vertAlign w:val="subscript"/>
        </w:rPr>
        <w:t>(2)</w:t>
      </w:r>
      <w:r w:rsidRPr="00CC0BE8">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Do not apply this special provision to material placed and paid for under the Aggregate Detours, Breaker Run, Select Crushed, Pit Run, Subbase, or Riprap bid items.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(4)</w:t>
      </w:r>
      <w:r w:rsidRPr="00CC0BE8">
        <w:tab/>
        <w:t>Provide and maintain a quality control program, defined as all activities related to and documentation of the following:</w:t>
      </w:r>
    </w:p>
    <w:p w:rsidR="00716B0E" w:rsidRPr="00CC0BE8" w:rsidRDefault="00716B0E" w:rsidP="00716B0E">
      <w:pPr>
        <w:ind w:left="1080"/>
      </w:pPr>
      <w:r w:rsidRPr="00CC0BE8">
        <w:t>1.</w:t>
      </w:r>
      <w:r w:rsidRPr="00CC0BE8">
        <w:tab/>
        <w:t>Production and placement control and inspection.</w:t>
      </w:r>
    </w:p>
    <w:p w:rsidR="00716B0E" w:rsidRPr="00CC0BE8" w:rsidRDefault="00716B0E" w:rsidP="00716B0E">
      <w:pPr>
        <w:ind w:left="1080"/>
      </w:pPr>
      <w:r w:rsidRPr="00CC0BE8">
        <w:t>2.</w:t>
      </w:r>
      <w:r w:rsidRPr="00CC0BE8">
        <w:tab/>
        <w:t>Material sampling and testing.</w:t>
      </w:r>
    </w:p>
    <w:p w:rsidR="00716B0E" w:rsidRPr="00CC0BE8" w:rsidRDefault="00716B0E" w:rsidP="00716B0E">
      <w:pPr>
        <w:tabs>
          <w:tab w:val="left" w:pos="1080"/>
        </w:tabs>
      </w:pPr>
    </w:p>
    <w:p w:rsidR="00716B0E" w:rsidRPr="00CC0BE8" w:rsidRDefault="00716B0E" w:rsidP="00716B0E">
      <w:pPr>
        <w:tabs>
          <w:tab w:val="left" w:pos="1080"/>
        </w:tabs>
        <w:ind w:left="1080" w:hanging="360"/>
      </w:pPr>
      <w:r w:rsidRPr="00CC0BE8">
        <w:rPr>
          <w:vertAlign w:val="subscript"/>
        </w:rPr>
        <w:t>(5)</w:t>
      </w:r>
      <w:r w:rsidRPr="00CC0BE8">
        <w:tab/>
        <w:t>Chapter 8 of the department’s construction and materials manual (CMM) provides additional detailed guidance for QMP work and describes required sampling and testing procedures. The contractor may obtain the CMM from the department’s web site at:</w:t>
      </w:r>
    </w:p>
    <w:p w:rsidR="00716B0E" w:rsidRPr="001F1E77" w:rsidRDefault="00716B0E" w:rsidP="00716B0E">
      <w:pPr>
        <w:tabs>
          <w:tab w:val="left" w:pos="1080"/>
        </w:tabs>
        <w:jc w:val="center"/>
        <w:rPr>
          <w:rStyle w:val="Hyperlink"/>
        </w:rPr>
      </w:pPr>
      <w:r w:rsidRPr="00F814E8">
        <w:t>http://wisconsindot.gov/Pages/doing-bus/eng-consultants/cnslt-rsrces/rdwy/default.aspx</w:t>
      </w:r>
    </w:p>
    <w:p w:rsidR="00716B0E" w:rsidRPr="00CC0BE8" w:rsidRDefault="00716B0E" w:rsidP="00716B0E">
      <w:pPr>
        <w:tabs>
          <w:tab w:val="left" w:pos="1080"/>
        </w:tabs>
      </w:pPr>
    </w:p>
    <w:p w:rsidR="00716B0E" w:rsidRPr="00CC0BE8" w:rsidRDefault="00716B0E" w:rsidP="00716B0E">
      <w:pPr>
        <w:tabs>
          <w:tab w:val="left" w:pos="1080"/>
        </w:tabs>
      </w:pPr>
      <w:proofErr w:type="gramStart"/>
      <w:r w:rsidRPr="00CC0BE8">
        <w:rPr>
          <w:b/>
        </w:rPr>
        <w:t>A.2  Small</w:t>
      </w:r>
      <w:proofErr w:type="gramEnd"/>
      <w:r w:rsidRPr="00CC0BE8">
        <w:rPr>
          <w:b/>
        </w:rPr>
        <w:t xml:space="preserve"> Quantities</w:t>
      </w:r>
    </w:p>
    <w:p w:rsidR="00716B0E" w:rsidRPr="00CC0BE8" w:rsidRDefault="00716B0E" w:rsidP="00716B0E">
      <w:pPr>
        <w:tabs>
          <w:tab w:val="left" w:pos="1080"/>
        </w:tabs>
        <w:ind w:left="1080" w:hanging="360"/>
      </w:pPr>
      <w:r w:rsidRPr="00CC0BE8">
        <w:rPr>
          <w:vertAlign w:val="subscript"/>
        </w:rPr>
        <w:t>(1)</w:t>
      </w:r>
      <w:r w:rsidRPr="00CC0BE8">
        <w:tab/>
        <w:t>The department defines a small quantity, for each individual Base Aggregate bid item, as a contract quantity of 9000 tons or less of material as shown in the schedule of items under that bid item.</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The requirements under this special provision apply equally to a small quantity for an individual bid item except as follows:</w:t>
      </w:r>
    </w:p>
    <w:p w:rsidR="00716B0E" w:rsidRPr="00CC0BE8" w:rsidRDefault="00716B0E" w:rsidP="00716B0E">
      <w:pPr>
        <w:tabs>
          <w:tab w:val="left" w:pos="1080"/>
        </w:tabs>
        <w:ind w:left="1080" w:hanging="360"/>
      </w:pPr>
    </w:p>
    <w:p w:rsidR="00716B0E" w:rsidRPr="002C2142" w:rsidRDefault="00716B0E" w:rsidP="00716B0E">
      <w:pPr>
        <w:tabs>
          <w:tab w:val="left" w:pos="1080"/>
        </w:tabs>
        <w:ind w:left="1080" w:hanging="360"/>
        <w:rPr>
          <w:b/>
        </w:rPr>
      </w:pPr>
      <w:r w:rsidRPr="002C2142">
        <w:rPr>
          <w:b/>
        </w:rPr>
        <w:t>A.2.1 Quality Control Plan</w:t>
      </w:r>
    </w:p>
    <w:p w:rsidR="00716B0E" w:rsidRPr="00CC0BE8" w:rsidRDefault="00716B0E" w:rsidP="00716B0E">
      <w:pPr>
        <w:ind w:left="1080" w:hanging="360"/>
      </w:pPr>
      <w:r w:rsidRPr="00CC0BE8">
        <w:rPr>
          <w:vertAlign w:val="subscript"/>
        </w:rPr>
        <w:t>(1)</w:t>
      </w:r>
      <w:r w:rsidRPr="00CC0BE8">
        <w:tab/>
        <w:t>Submit an abbreviated quality control plan consisting of the following:</w:t>
      </w:r>
    </w:p>
    <w:p w:rsidR="00716B0E" w:rsidRPr="00CC0BE8" w:rsidRDefault="00716B0E" w:rsidP="00716B0E">
      <w:pPr>
        <w:ind w:left="1440" w:hanging="360"/>
      </w:pPr>
      <w:r w:rsidRPr="00CC0BE8">
        <w:t xml:space="preserve">1.  Organizational chart including names, telephone numbers, </w:t>
      </w:r>
      <w:proofErr w:type="gramStart"/>
      <w:r w:rsidRPr="00CC0BE8">
        <w:t>current certification(s)</w:t>
      </w:r>
      <w:proofErr w:type="gramEnd"/>
      <w:r w:rsidRPr="00CC0BE8">
        <w:t xml:space="preserve"> with HTCP number(s) and expiration date(s), and roles and responsibilities of all persons involved in the quality control program for material under affected bid items.</w:t>
      </w:r>
    </w:p>
    <w:p w:rsidR="00716B0E" w:rsidRPr="00CC0BE8" w:rsidRDefault="00716B0E" w:rsidP="00716B0E"/>
    <w:p w:rsidR="00716B0E" w:rsidRPr="002C2142" w:rsidRDefault="00716B0E" w:rsidP="00716B0E">
      <w:pPr>
        <w:ind w:left="1080" w:hanging="360"/>
        <w:rPr>
          <w:b/>
        </w:rPr>
      </w:pPr>
      <w:r w:rsidRPr="002C2142">
        <w:rPr>
          <w:b/>
        </w:rPr>
        <w:t>A.2.2 Contractor Testing</w:t>
      </w:r>
    </w:p>
    <w:p w:rsidR="00716B0E" w:rsidRPr="00CC0BE8" w:rsidRDefault="00716B0E" w:rsidP="00716B0E">
      <w:pPr>
        <w:ind w:left="1440" w:hanging="360"/>
      </w:pPr>
      <w:r w:rsidRPr="00CC0BE8">
        <w:t>1.</w:t>
      </w:r>
      <w:r w:rsidRPr="00CC0BE8">
        <w:tab/>
      </w:r>
    </w:p>
    <w:tbl>
      <w:tblPr>
        <w:tblStyle w:val="TableGrid"/>
        <w:tblW w:w="0" w:type="auto"/>
        <w:jc w:val="center"/>
        <w:tblLook w:val="04A0" w:firstRow="1" w:lastRow="0" w:firstColumn="1" w:lastColumn="0" w:noHBand="0" w:noVBand="1"/>
      </w:tblPr>
      <w:tblGrid>
        <w:gridCol w:w="3113"/>
        <w:gridCol w:w="4442"/>
      </w:tblGrid>
      <w:tr w:rsidR="00716B0E" w:rsidRPr="00CC0BE8" w:rsidTr="00F814E8">
        <w:trPr>
          <w:jc w:val="center"/>
        </w:trPr>
        <w:tc>
          <w:tcPr>
            <w:tcW w:w="3113" w:type="dxa"/>
          </w:tcPr>
          <w:p w:rsidR="00716B0E" w:rsidRPr="00CC0BE8" w:rsidRDefault="00716B0E" w:rsidP="00F814E8">
            <w:pPr>
              <w:pStyle w:val="STSP"/>
              <w:jc w:val="center"/>
              <w:rPr>
                <w:b/>
              </w:rPr>
            </w:pPr>
            <w:r w:rsidRPr="00CC0BE8">
              <w:rPr>
                <w:b/>
              </w:rPr>
              <w:t>Contract Quantity</w:t>
            </w:r>
          </w:p>
        </w:tc>
        <w:tc>
          <w:tcPr>
            <w:tcW w:w="4442" w:type="dxa"/>
          </w:tcPr>
          <w:p w:rsidR="00716B0E" w:rsidRPr="00CC0BE8" w:rsidRDefault="00716B0E" w:rsidP="00F814E8">
            <w:pPr>
              <w:pStyle w:val="STSP"/>
              <w:jc w:val="center"/>
              <w:rPr>
                <w:b/>
              </w:rPr>
            </w:pPr>
            <w:r w:rsidRPr="00CC0BE8">
              <w:rPr>
                <w:b/>
              </w:rPr>
              <w:t>Minimum Required Testing per source</w:t>
            </w:r>
          </w:p>
        </w:tc>
      </w:tr>
      <w:tr w:rsidR="00716B0E" w:rsidRPr="00CC0BE8" w:rsidTr="00F814E8">
        <w:trPr>
          <w:jc w:val="center"/>
        </w:trPr>
        <w:tc>
          <w:tcPr>
            <w:tcW w:w="3113" w:type="dxa"/>
          </w:tcPr>
          <w:p w:rsidR="00716B0E" w:rsidRPr="00CC0BE8" w:rsidRDefault="00716B0E" w:rsidP="00F814E8">
            <w:pPr>
              <w:pStyle w:val="STSP"/>
            </w:pPr>
            <w:r w:rsidRPr="00CC0BE8">
              <w:t>≤ 6000 tons</w:t>
            </w:r>
          </w:p>
        </w:tc>
        <w:tc>
          <w:tcPr>
            <w:tcW w:w="4442" w:type="dxa"/>
          </w:tcPr>
          <w:p w:rsidR="00716B0E" w:rsidRPr="00CC0BE8" w:rsidRDefault="00716B0E" w:rsidP="00F814E8">
            <w:pPr>
              <w:pStyle w:val="STSP"/>
            </w:pPr>
            <w:r w:rsidRPr="00CC0BE8">
              <w:t>One stockpile test prior to placement, and two production or one loadout test.</w:t>
            </w:r>
          </w:p>
        </w:tc>
      </w:tr>
      <w:tr w:rsidR="00716B0E" w:rsidRPr="00CC0BE8" w:rsidTr="00F814E8">
        <w:trPr>
          <w:jc w:val="center"/>
        </w:trPr>
        <w:tc>
          <w:tcPr>
            <w:tcW w:w="3113" w:type="dxa"/>
          </w:tcPr>
          <w:p w:rsidR="00716B0E" w:rsidRPr="00CC0BE8" w:rsidRDefault="00716B0E" w:rsidP="00F814E8">
            <w:pPr>
              <w:pStyle w:val="STSP"/>
            </w:pPr>
            <w:r w:rsidRPr="00CC0BE8">
              <w:t>&gt; 6000 tons and ≤ 9000 tons</w:t>
            </w:r>
          </w:p>
        </w:tc>
        <w:tc>
          <w:tcPr>
            <w:tcW w:w="4442" w:type="dxa"/>
          </w:tcPr>
          <w:p w:rsidR="00716B0E" w:rsidRPr="00CC0BE8" w:rsidRDefault="00716B0E" w:rsidP="00F814E8">
            <w:pPr>
              <w:pStyle w:val="STSP"/>
            </w:pPr>
            <w:r w:rsidRPr="00CC0BE8">
              <w:t>One stockpile and Three placement tests</w:t>
            </w:r>
            <w:r w:rsidRPr="00CC0BE8">
              <w:rPr>
                <w:vertAlign w:val="superscript"/>
              </w:rPr>
              <w:t>[3] [4] [5]</w:t>
            </w:r>
          </w:p>
        </w:tc>
      </w:tr>
    </w:tbl>
    <w:p w:rsidR="00716B0E" w:rsidRPr="00CC0BE8" w:rsidRDefault="00716B0E" w:rsidP="00716B0E">
      <w:pPr>
        <w:ind w:left="1440" w:hanging="360"/>
      </w:pPr>
      <w:r w:rsidRPr="00CC0BE8">
        <w:rPr>
          <w:vertAlign w:val="superscript"/>
        </w:rPr>
        <w:t>[1]</w:t>
      </w:r>
      <w:r w:rsidRPr="00CC0BE8">
        <w:tab/>
        <w:t>Submit production test results to the engineer for review prior to incorporating the material into the work. Production test results are valid for a period of 3 years.</w:t>
      </w:r>
    </w:p>
    <w:p w:rsidR="00716B0E" w:rsidRPr="00CC0BE8" w:rsidRDefault="00716B0E" w:rsidP="00716B0E">
      <w:pPr>
        <w:ind w:left="1440" w:hanging="360"/>
      </w:pPr>
      <w:r w:rsidRPr="00CC0BE8">
        <w:rPr>
          <w:vertAlign w:val="superscript"/>
        </w:rPr>
        <w:t>[2]</w:t>
      </w:r>
      <w:r w:rsidRPr="00CC0BE8">
        <w:tab/>
        <w:t>If the actual quantity overruns 6,000 tons, on the next day of placement perform one randomly selected placement test for each 3000 tons, or fraction of 3000 tons, of overrun</w:t>
      </w:r>
      <w:r>
        <w:t>.</w:t>
      </w:r>
    </w:p>
    <w:p w:rsidR="00716B0E" w:rsidRPr="00CC0BE8" w:rsidRDefault="00716B0E" w:rsidP="00716B0E">
      <w:pPr>
        <w:ind w:left="1440" w:hanging="360"/>
      </w:pPr>
      <w:r w:rsidRPr="00CC0BE8">
        <w:rPr>
          <w:vertAlign w:val="superscript"/>
        </w:rPr>
        <w:t>[3]</w:t>
      </w:r>
      <w:r w:rsidRPr="00CC0BE8">
        <w:rPr>
          <w:vertAlign w:val="superscript"/>
        </w:rPr>
        <w:tab/>
      </w:r>
      <w:r w:rsidRPr="00CC0BE8">
        <w:t>If the actual quantity overruns 9000 tons, on the next day of placement perform one randomly selected placement test for each 3000 tons, or fraction of 3000 tons, of overrun.</w:t>
      </w:r>
    </w:p>
    <w:p w:rsidR="00716B0E" w:rsidRPr="00CC0BE8" w:rsidRDefault="00716B0E" w:rsidP="00716B0E">
      <w:pPr>
        <w:ind w:left="1440" w:hanging="360"/>
      </w:pPr>
      <w:r w:rsidRPr="00CC0BE8">
        <w:rPr>
          <w:vertAlign w:val="superscript"/>
        </w:rPr>
        <w:t>[4]</w:t>
      </w:r>
      <w:r w:rsidRPr="00CC0BE8">
        <w:tab/>
        <w:t>For 3-inch material or lift thickness of 3-inch or less, obtain samples at load-out.</w:t>
      </w:r>
    </w:p>
    <w:p w:rsidR="00716B0E" w:rsidRPr="00CC0BE8" w:rsidRDefault="00716B0E" w:rsidP="00716B0E">
      <w:pPr>
        <w:ind w:left="1440" w:hanging="360"/>
      </w:pPr>
      <w:r w:rsidRPr="00CC0BE8">
        <w:rPr>
          <w:vertAlign w:val="superscript"/>
        </w:rPr>
        <w:t>[5]</w:t>
      </w:r>
      <w:r w:rsidRPr="00CC0BE8">
        <w:rPr>
          <w:vertAlign w:val="superscript"/>
        </w:rPr>
        <w:tab/>
      </w:r>
      <w:r w:rsidRPr="00CC0BE8">
        <w:t xml:space="preserve">Divide the aggregate into uniformly sized </w:t>
      </w:r>
      <w:proofErr w:type="spellStart"/>
      <w:r w:rsidRPr="00CC0BE8">
        <w:t>sublots</w:t>
      </w:r>
      <w:proofErr w:type="spellEnd"/>
      <w:r w:rsidRPr="00CC0BE8">
        <w:t xml:space="preserve"> for testing</w:t>
      </w:r>
    </w:p>
    <w:p w:rsidR="00716B0E" w:rsidRPr="00CC0BE8" w:rsidRDefault="00716B0E" w:rsidP="00716B0E"/>
    <w:p w:rsidR="00716B0E" w:rsidRPr="00CC0BE8" w:rsidRDefault="00716B0E" w:rsidP="00716B0E">
      <w:pPr>
        <w:ind w:left="1440" w:hanging="360"/>
      </w:pPr>
      <w:r w:rsidRPr="00CC0BE8">
        <w:t>2.</w:t>
      </w:r>
      <w:r w:rsidRPr="00CC0BE8">
        <w:tab/>
        <w:t>Stockpile testing for concrete pavement recycled in place will be sampled on the first day of production.</w:t>
      </w:r>
    </w:p>
    <w:p w:rsidR="00716B0E" w:rsidRPr="00CC0BE8" w:rsidRDefault="00716B0E" w:rsidP="00716B0E"/>
    <w:p w:rsidR="00716B0E" w:rsidRPr="00CC0BE8" w:rsidRDefault="00716B0E" w:rsidP="00716B0E">
      <w:pPr>
        <w:ind w:left="1440" w:hanging="360"/>
      </w:pPr>
      <w:r w:rsidRPr="00CC0BE8">
        <w:t>3.</w:t>
      </w:r>
      <w:r w:rsidRPr="00CC0BE8">
        <w:tab/>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716B0E" w:rsidRPr="00CC0BE8" w:rsidRDefault="00716B0E" w:rsidP="00716B0E">
      <w:pPr>
        <w:ind w:left="1440" w:hanging="360"/>
      </w:pPr>
      <w:r w:rsidRPr="00CC0BE8">
        <w:t xml:space="preserve">4. </w:t>
      </w:r>
      <w:r w:rsidRPr="00CC0BE8">
        <w:tab/>
        <w:t xml:space="preserve">Material represented by a </w:t>
      </w:r>
      <w:proofErr w:type="spellStart"/>
      <w:r w:rsidRPr="00CC0BE8">
        <w:t>sublot</w:t>
      </w:r>
      <w:proofErr w:type="spellEnd"/>
      <w:r w:rsidRPr="00CC0BE8">
        <w:t xml:space="preserve"> with any property outside the specification limits is nonconforming. The department may reject material or otherwise determine the final disposition of nonconforming material as specified in standard spec 106.5.</w:t>
      </w:r>
    </w:p>
    <w:p w:rsidR="00716B0E" w:rsidRPr="00CC0BE8" w:rsidRDefault="00716B0E" w:rsidP="00716B0E"/>
    <w:p w:rsidR="00716B0E" w:rsidRPr="001F1E77" w:rsidRDefault="00716B0E" w:rsidP="00716B0E">
      <w:pPr>
        <w:ind w:left="1080" w:hanging="360"/>
        <w:rPr>
          <w:b/>
        </w:rPr>
      </w:pPr>
      <w:r w:rsidRPr="001F1E77">
        <w:rPr>
          <w:b/>
        </w:rPr>
        <w:t>A.2.3 Department Testing</w:t>
      </w:r>
    </w:p>
    <w:p w:rsidR="00716B0E" w:rsidRPr="00CC0BE8" w:rsidRDefault="00716B0E" w:rsidP="00716B0E">
      <w:pPr>
        <w:tabs>
          <w:tab w:val="left" w:pos="1080"/>
        </w:tabs>
      </w:pPr>
      <w:r w:rsidRPr="003124EC">
        <w:rPr>
          <w:vertAlign w:val="subscript"/>
        </w:rPr>
        <w:t>(1)</w:t>
      </w:r>
      <w:r w:rsidRPr="00CC0BE8">
        <w:tab/>
        <w:t>The department will perform testing as specified in B.8 except as follows:</w:t>
      </w:r>
    </w:p>
    <w:p w:rsidR="00716B0E" w:rsidRPr="00CC0BE8" w:rsidRDefault="00716B0E" w:rsidP="00716B0E">
      <w:pPr>
        <w:pStyle w:val="ListParagraph"/>
      </w:pPr>
      <w:r w:rsidRPr="00CC0BE8">
        <w:t>Department stockpile verification testing prior to placement is optional for contract quantities of 500 tons or less</w:t>
      </w:r>
      <w:r>
        <w: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r w:rsidRPr="00CC0BE8">
        <w:rPr>
          <w:b/>
        </w:rPr>
        <w:t>B  Materials</w:t>
      </w:r>
    </w:p>
    <w:p w:rsidR="00716B0E" w:rsidRPr="00CC0BE8" w:rsidRDefault="00716B0E" w:rsidP="00716B0E">
      <w:pPr>
        <w:tabs>
          <w:tab w:val="left" w:pos="1080"/>
        </w:tabs>
        <w:ind w:left="1080" w:hanging="360"/>
      </w:pPr>
      <w:proofErr w:type="gramStart"/>
      <w:r w:rsidRPr="00CC0BE8">
        <w:rPr>
          <w:b/>
        </w:rPr>
        <w:t>B.1  Quality</w:t>
      </w:r>
      <w:proofErr w:type="gramEnd"/>
      <w:r w:rsidRPr="00CC0BE8">
        <w:rPr>
          <w:b/>
        </w:rPr>
        <w:t xml:space="preserve"> Control Plan</w:t>
      </w:r>
    </w:p>
    <w:p w:rsidR="00716B0E" w:rsidRPr="00CC0BE8" w:rsidRDefault="00716B0E" w:rsidP="00716B0E">
      <w:pPr>
        <w:tabs>
          <w:tab w:val="left" w:pos="1080"/>
        </w:tabs>
        <w:ind w:left="1080" w:hanging="360"/>
      </w:pPr>
      <w:r w:rsidRPr="00CC0BE8">
        <w:rPr>
          <w:vertAlign w:val="subscript"/>
        </w:rPr>
        <w:lastRenderedPageBreak/>
        <w:t>(1)</w:t>
      </w:r>
      <w:r w:rsidRPr="00CC0BE8">
        <w:tab/>
        <w:t>Submit a comprehensive written quality control plan to the engineer at or before the pre</w:t>
      </w:r>
      <w:r w:rsidRPr="00CC0BE8">
        <w:noBreakHyphen/>
        <w:t>construction meeting. Do not place base before the engineer reviews and comments on the plan. Construct the project as that plan provides.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716B0E" w:rsidRPr="00CC0BE8" w:rsidRDefault="00716B0E" w:rsidP="00716B0E">
      <w:pPr>
        <w:ind w:left="1440" w:hanging="360"/>
      </w:pPr>
      <w:r w:rsidRPr="00CC0BE8">
        <w:t>1.</w:t>
      </w:r>
      <w:r w:rsidRPr="00CC0BE8">
        <w:tab/>
        <w:t>An organizational chart with names, telephone numbers, current certifications and/or titles, and roles and responsibilities of QC personnel.</w:t>
      </w:r>
    </w:p>
    <w:p w:rsidR="00716B0E" w:rsidRPr="00CC0BE8" w:rsidRDefault="00716B0E" w:rsidP="00716B0E">
      <w:pPr>
        <w:ind w:left="1440" w:hanging="360"/>
      </w:pPr>
      <w:r w:rsidRPr="00CC0BE8">
        <w:t>2.</w:t>
      </w:r>
      <w:r w:rsidRPr="00CC0BE8">
        <w:tab/>
        <w:t>The process used to disseminate QC information and corrective action efforts to the appropriate persons. Include a list of recipients, the communication means that will be used, and action time frames.</w:t>
      </w:r>
    </w:p>
    <w:p w:rsidR="00716B0E" w:rsidRPr="00CC0BE8" w:rsidRDefault="00716B0E" w:rsidP="00716B0E">
      <w:pPr>
        <w:ind w:left="1440" w:hanging="360"/>
      </w:pPr>
      <w:r w:rsidRPr="00CC0BE8">
        <w:t>3.</w:t>
      </w:r>
      <w:r w:rsidRPr="00CC0BE8">
        <w:tab/>
        <w:t>A list of source and processing locations, section and quarter descriptions, for all aggregate materials requiring QC testing.</w:t>
      </w:r>
    </w:p>
    <w:p w:rsidR="00716B0E" w:rsidRPr="00CC0BE8" w:rsidRDefault="00716B0E" w:rsidP="00716B0E">
      <w:pPr>
        <w:ind w:left="1440" w:hanging="360"/>
      </w:pPr>
      <w:r w:rsidRPr="00CC0BE8">
        <w:t>4.</w:t>
      </w:r>
      <w:r w:rsidRPr="00CC0BE8">
        <w:tab/>
        <w:t>Test results for wear, sodium sulfate soundness, freeze/thaw soundness, and plasticity index of all aggregates requiring QC testing. Obtain this information from the region materials unit or from the engineer.</w:t>
      </w:r>
    </w:p>
    <w:p w:rsidR="00716B0E" w:rsidRPr="00CC0BE8" w:rsidRDefault="00716B0E" w:rsidP="00716B0E">
      <w:pPr>
        <w:ind w:left="1440" w:hanging="360"/>
      </w:pPr>
      <w:r w:rsidRPr="00CC0BE8">
        <w:t>5.</w:t>
      </w:r>
      <w:r w:rsidRPr="00CC0BE8">
        <w:tab/>
        <w:t>Descriptions of stockpiling and hauling methods.</w:t>
      </w:r>
    </w:p>
    <w:p w:rsidR="00716B0E" w:rsidRPr="00CC0BE8" w:rsidRDefault="00716B0E" w:rsidP="00716B0E">
      <w:pPr>
        <w:ind w:left="1440" w:hanging="360"/>
      </w:pPr>
      <w:r w:rsidRPr="00CC0BE8">
        <w:t>6.</w:t>
      </w:r>
      <w:r w:rsidRPr="00CC0BE8">
        <w:tab/>
        <w:t>Locations of the QC laboratory, retained sample storage, and where control charts and other documentation is posted.</w:t>
      </w:r>
    </w:p>
    <w:p w:rsidR="00716B0E" w:rsidRPr="00CC0BE8" w:rsidRDefault="00716B0E" w:rsidP="00716B0E">
      <w:pPr>
        <w:ind w:left="1440" w:hanging="360"/>
      </w:pPr>
      <w:r w:rsidRPr="00CC0BE8">
        <w:t>7.</w:t>
      </w:r>
      <w:r w:rsidRPr="00CC0BE8">
        <w:tab/>
        <w:t>An outline for resolving a process control problem. Include responsible personnel, required documentation, and appropriate communication steps.</w:t>
      </w:r>
    </w:p>
    <w:p w:rsidR="00716B0E" w:rsidRPr="00CC0BE8" w:rsidRDefault="00716B0E" w:rsidP="00716B0E">
      <w:pPr>
        <w:tabs>
          <w:tab w:val="left" w:pos="1080"/>
        </w:tabs>
      </w:pPr>
    </w:p>
    <w:p w:rsidR="00716B0E" w:rsidRPr="00CC0BE8" w:rsidRDefault="00716B0E" w:rsidP="00716B0E">
      <w:pPr>
        <w:tabs>
          <w:tab w:val="left" w:pos="1080"/>
        </w:tabs>
      </w:pPr>
      <w:proofErr w:type="gramStart"/>
      <w:r w:rsidRPr="00CC0BE8">
        <w:rPr>
          <w:b/>
        </w:rPr>
        <w:t>B.2  Personnel</w:t>
      </w:r>
      <w:proofErr w:type="gramEnd"/>
    </w:p>
    <w:p w:rsidR="00716B0E" w:rsidRPr="00CC0BE8" w:rsidRDefault="00716B0E" w:rsidP="00716B0E">
      <w:pPr>
        <w:tabs>
          <w:tab w:val="left" w:pos="1080"/>
        </w:tabs>
        <w:ind w:left="1080" w:hanging="360"/>
      </w:pPr>
      <w:r w:rsidRPr="00CC0BE8">
        <w:rPr>
          <w:vertAlign w:val="subscript"/>
        </w:rPr>
        <w:t>(1)</w:t>
      </w:r>
      <w:r w:rsidRPr="00CC0BE8">
        <w:tab/>
        <w:t>Have personnel certified under the department’s highway technician certification program (HTCP) perform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716B0E" w:rsidRPr="00CC0BE8" w:rsidTr="00F814E8">
        <w:tc>
          <w:tcPr>
            <w:tcW w:w="5615" w:type="dxa"/>
          </w:tcPr>
          <w:p w:rsidR="00716B0E" w:rsidRPr="00CC0BE8" w:rsidRDefault="00716B0E" w:rsidP="00F814E8">
            <w:pPr>
              <w:pStyle w:val="STSP"/>
              <w:jc w:val="center"/>
              <w:rPr>
                <w:b/>
              </w:rPr>
            </w:pPr>
            <w:r w:rsidRPr="00CC0BE8">
              <w:rPr>
                <w:b/>
              </w:rPr>
              <w:t>Required Certification Level:</w:t>
            </w:r>
          </w:p>
        </w:tc>
        <w:tc>
          <w:tcPr>
            <w:tcW w:w="3134" w:type="dxa"/>
          </w:tcPr>
          <w:p w:rsidR="00716B0E" w:rsidRPr="00CC0BE8" w:rsidRDefault="00716B0E" w:rsidP="00F814E8">
            <w:pPr>
              <w:pStyle w:val="STSP"/>
              <w:jc w:val="center"/>
              <w:rPr>
                <w:b/>
              </w:rPr>
            </w:pPr>
            <w:r w:rsidRPr="00CC0BE8">
              <w:rPr>
                <w:b/>
              </w:rPr>
              <w:t>Sampling or Testing Roles:</w:t>
            </w:r>
          </w:p>
        </w:tc>
      </w:tr>
      <w:tr w:rsidR="00716B0E" w:rsidRPr="00CC0BE8" w:rsidTr="00F814E8">
        <w:tc>
          <w:tcPr>
            <w:tcW w:w="5615" w:type="dxa"/>
          </w:tcPr>
          <w:p w:rsidR="00716B0E" w:rsidRPr="00CC0BE8" w:rsidRDefault="00716B0E" w:rsidP="00F814E8">
            <w:pPr>
              <w:pStyle w:val="STSP"/>
            </w:pPr>
            <w:r w:rsidRPr="00CC0BE8">
              <w:t>Transportation Materials Sampling Technician (TMS)</w:t>
            </w:r>
          </w:p>
          <w:p w:rsidR="00716B0E" w:rsidRPr="00CC0BE8" w:rsidRDefault="00716B0E" w:rsidP="00F814E8">
            <w:pPr>
              <w:pStyle w:val="STSP"/>
            </w:pPr>
            <w:r w:rsidRPr="00CC0BE8">
              <w:t>Aggregate Technician I (AGGTEC-I)</w:t>
            </w:r>
          </w:p>
          <w:p w:rsidR="00716B0E" w:rsidRPr="00CC0BE8" w:rsidRDefault="00716B0E" w:rsidP="00F814E8">
            <w:pPr>
              <w:pStyle w:val="STSP"/>
            </w:pPr>
            <w:r w:rsidRPr="00CC0BE8">
              <w:t>Aggregate Assistant Certified Technician (ACT-AGG)</w:t>
            </w:r>
          </w:p>
          <w:p w:rsidR="00716B0E" w:rsidRPr="00CC0BE8" w:rsidRDefault="00716B0E" w:rsidP="00F814E8">
            <w:pPr>
              <w:pStyle w:val="STSP"/>
            </w:pPr>
          </w:p>
        </w:tc>
        <w:tc>
          <w:tcPr>
            <w:tcW w:w="3134" w:type="dxa"/>
          </w:tcPr>
          <w:p w:rsidR="00716B0E" w:rsidRPr="00CC0BE8" w:rsidRDefault="00716B0E" w:rsidP="00F814E8">
            <w:pPr>
              <w:pStyle w:val="STSP"/>
            </w:pPr>
            <w:r w:rsidRPr="00CC0BE8">
              <w:t>Aggregate Sampling</w:t>
            </w:r>
            <w:r w:rsidRPr="00CC0BE8">
              <w:rPr>
                <w:vertAlign w:val="superscript"/>
              </w:rPr>
              <w:t>[1]</w:t>
            </w:r>
          </w:p>
        </w:tc>
      </w:tr>
      <w:tr w:rsidR="00716B0E" w:rsidRPr="00CC0BE8" w:rsidTr="00F814E8">
        <w:tc>
          <w:tcPr>
            <w:tcW w:w="5615" w:type="dxa"/>
          </w:tcPr>
          <w:p w:rsidR="00716B0E" w:rsidRPr="00CC0BE8" w:rsidRDefault="00716B0E" w:rsidP="00F814E8">
            <w:pPr>
              <w:pStyle w:val="STSP"/>
            </w:pPr>
            <w:r w:rsidRPr="00CC0BE8">
              <w:t>Aggregate Technician I (AGGTEC-I)</w:t>
            </w:r>
          </w:p>
          <w:p w:rsidR="00716B0E" w:rsidRPr="00CC0BE8" w:rsidRDefault="00716B0E" w:rsidP="00F814E8">
            <w:pPr>
              <w:pStyle w:val="STSP"/>
            </w:pPr>
            <w:r w:rsidRPr="00CC0BE8">
              <w:t>Aggregate Assistant Certified Technician (ACT-AGG)</w:t>
            </w:r>
          </w:p>
        </w:tc>
        <w:tc>
          <w:tcPr>
            <w:tcW w:w="3134" w:type="dxa"/>
          </w:tcPr>
          <w:p w:rsidR="00716B0E" w:rsidRPr="00CC0BE8" w:rsidRDefault="00716B0E" w:rsidP="00F814E8">
            <w:pPr>
              <w:pStyle w:val="STSP"/>
            </w:pPr>
            <w:r w:rsidRPr="00CC0BE8">
              <w:t>Aggregate Gradation Testing, Aggregate Fractured Particle Testing, Aggregate Liquid Limit and Plasticity Index Testing</w:t>
            </w:r>
          </w:p>
        </w:tc>
      </w:tr>
    </w:tbl>
    <w:p w:rsidR="00716B0E" w:rsidRPr="00CC0BE8" w:rsidRDefault="00716B0E" w:rsidP="00716B0E">
      <w:pPr>
        <w:tabs>
          <w:tab w:val="left" w:pos="1440"/>
        </w:tabs>
        <w:ind w:left="1440" w:hanging="360"/>
      </w:pPr>
      <w:r w:rsidRPr="00CC0BE8">
        <w:rPr>
          <w:vertAlign w:val="superscript"/>
        </w:rPr>
        <w:t>[1]</w:t>
      </w:r>
      <w:r w:rsidRPr="00CC0BE8">
        <w:tab/>
        <w:t>Plant personnel under the direct observation of an aggregate technician certified at level one or higher may operate equipment to obtain samples.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B.3  Laboratory</w:t>
      </w:r>
      <w:proofErr w:type="gramEnd"/>
    </w:p>
    <w:p w:rsidR="00716B0E" w:rsidRPr="00CC0BE8" w:rsidRDefault="00716B0E" w:rsidP="00716B0E">
      <w:pPr>
        <w:tabs>
          <w:tab w:val="left" w:pos="1080"/>
        </w:tabs>
        <w:ind w:left="1080" w:hanging="360"/>
      </w:pPr>
      <w:r w:rsidRPr="00CC0BE8">
        <w:rPr>
          <w:vertAlign w:val="subscript"/>
        </w:rPr>
        <w:lastRenderedPageBreak/>
        <w:t>(1)</w:t>
      </w:r>
      <w:r w:rsidRPr="00CC0BE8">
        <w:tab/>
        <w:t>Perform QC testing at a department-qualified laboratory. Obtain information on the Wisconsin laboratory qualification program from:</w:t>
      </w:r>
    </w:p>
    <w:p w:rsidR="00716B0E" w:rsidRPr="00CC0BE8" w:rsidRDefault="00716B0E" w:rsidP="00716B0E">
      <w:pPr>
        <w:ind w:left="2160"/>
      </w:pPr>
      <w:r w:rsidRPr="00CC0BE8">
        <w:t>Materials Management Section</w:t>
      </w:r>
    </w:p>
    <w:p w:rsidR="00716B0E" w:rsidRPr="00CC0BE8" w:rsidRDefault="00716B0E" w:rsidP="00716B0E">
      <w:pPr>
        <w:ind w:left="2160"/>
      </w:pPr>
      <w:r w:rsidRPr="00CC0BE8">
        <w:t>3502 Kinsman Blvd.</w:t>
      </w:r>
    </w:p>
    <w:p w:rsidR="00716B0E" w:rsidRPr="00CC0BE8" w:rsidRDefault="00716B0E" w:rsidP="00716B0E">
      <w:pPr>
        <w:ind w:left="2160"/>
      </w:pPr>
      <w:r w:rsidRPr="00CC0BE8">
        <w:t>Madison, WI 53704</w:t>
      </w:r>
    </w:p>
    <w:p w:rsidR="00716B0E" w:rsidRPr="00CC0BE8" w:rsidRDefault="00716B0E" w:rsidP="00716B0E">
      <w:pPr>
        <w:ind w:left="2160"/>
      </w:pPr>
      <w:r w:rsidRPr="00CC0BE8">
        <w:t>Telephone: (608) 246-5388</w:t>
      </w:r>
    </w:p>
    <w:p w:rsidR="00716B0E" w:rsidRPr="00CC0BE8" w:rsidRDefault="00716B0E" w:rsidP="00716B0E">
      <w:pPr>
        <w:tabs>
          <w:tab w:val="left" w:pos="1080"/>
        </w:tabs>
        <w:ind w:left="1080" w:hanging="360"/>
      </w:pPr>
      <w:r>
        <w:tab/>
      </w:r>
      <w:r w:rsidRPr="00F814E8">
        <w:t>http://wisconsindot.gov/Pages/doing-bus/eng-consultants/cnslt-rsrces/tools/appr-prod/qual-labs.aspx</w:t>
      </w:r>
      <w:r w:rsidRPr="00CC0BE8">
        <w:t xml:space="preserve"> </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proofErr w:type="gramStart"/>
      <w:r w:rsidRPr="00CC0BE8">
        <w:rPr>
          <w:b/>
        </w:rPr>
        <w:t>B.4  Quality</w:t>
      </w:r>
      <w:proofErr w:type="gramEnd"/>
      <w:r w:rsidRPr="00CC0BE8">
        <w:rPr>
          <w:b/>
        </w:rPr>
        <w:t xml:space="preserve"> Control Documentation</w:t>
      </w:r>
    </w:p>
    <w:p w:rsidR="00716B0E" w:rsidRPr="00CC0BE8" w:rsidRDefault="00716B0E" w:rsidP="00716B0E">
      <w:pPr>
        <w:tabs>
          <w:tab w:val="left" w:pos="1080"/>
        </w:tabs>
        <w:ind w:left="1080" w:hanging="360"/>
      </w:pPr>
      <w:proofErr w:type="gramStart"/>
      <w:r w:rsidRPr="00CC0BE8">
        <w:rPr>
          <w:b/>
        </w:rPr>
        <w:t>B.4.1  General</w:t>
      </w:r>
      <w:proofErr w:type="gramEnd"/>
    </w:p>
    <w:p w:rsidR="00716B0E" w:rsidRPr="00CC0BE8" w:rsidRDefault="00716B0E" w:rsidP="00716B0E">
      <w:pPr>
        <w:tabs>
          <w:tab w:val="left" w:pos="1080"/>
        </w:tabs>
        <w:ind w:left="1080" w:hanging="360"/>
      </w:pPr>
      <w:r w:rsidRPr="00CC0BE8">
        <w:rPr>
          <w:vertAlign w:val="subscript"/>
        </w:rPr>
        <w:t>(1)</w:t>
      </w:r>
      <w:r w:rsidRPr="00CC0BE8">
        <w:tab/>
        <w:t>Submit base aggregate placement documentation to the engineer within 10 business days after completing base placement. Ensure that the submittal is complete, neatly organized, and includes applicable project records and control charts.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B.4.2  Records</w:t>
      </w:r>
      <w:proofErr w:type="gramEnd"/>
    </w:p>
    <w:p w:rsidR="00716B0E" w:rsidRPr="00CC0BE8" w:rsidRDefault="00716B0E" w:rsidP="00716B0E">
      <w:pPr>
        <w:tabs>
          <w:tab w:val="left" w:pos="1080"/>
        </w:tabs>
        <w:ind w:left="1080" w:hanging="360"/>
      </w:pPr>
      <w:r w:rsidRPr="00CC0BE8">
        <w:rPr>
          <w:vertAlign w:val="subscript"/>
        </w:rPr>
        <w:t>(1)</w:t>
      </w:r>
      <w:r w:rsidRPr="00CC0BE8">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B.4.3  Control</w:t>
      </w:r>
      <w:proofErr w:type="gramEnd"/>
      <w:r w:rsidRPr="00CC0BE8">
        <w:rPr>
          <w:b/>
        </w:rPr>
        <w:t xml:space="preserve"> Charts</w:t>
      </w:r>
    </w:p>
    <w:p w:rsidR="00716B0E" w:rsidRPr="00CC0BE8" w:rsidRDefault="00716B0E" w:rsidP="00716B0E">
      <w:pPr>
        <w:tabs>
          <w:tab w:val="left" w:pos="1080"/>
        </w:tabs>
        <w:ind w:left="1080" w:hanging="360"/>
      </w:pPr>
      <w:r w:rsidRPr="00CC0BE8">
        <w:rPr>
          <w:vertAlign w:val="subscript"/>
        </w:rPr>
        <w:t>(1)</w:t>
      </w:r>
      <w:r w:rsidRPr="00CC0BE8">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Provide control charts to the engineer within one business day</w:t>
      </w:r>
      <w:r w:rsidRPr="00CC0BE8" w:rsidDel="00426296">
        <w:t xml:space="preserve"> </w:t>
      </w:r>
      <w:r w:rsidRPr="00CC0BE8">
        <w:t>after obtaining a sample. Post or distribute charts using a method mutually agreeable to the engineer and contractor. Update control charts daily to include the following:</w:t>
      </w:r>
    </w:p>
    <w:p w:rsidR="00716B0E" w:rsidRPr="00CC0BE8" w:rsidRDefault="00716B0E" w:rsidP="00716B0E">
      <w:pPr>
        <w:ind w:left="1440" w:hanging="360"/>
      </w:pPr>
      <w:r w:rsidRPr="00CC0BE8">
        <w:t>1.</w:t>
      </w:r>
      <w:r w:rsidRPr="00CC0BE8">
        <w:tab/>
        <w:t>Contractor individual QC tests.</w:t>
      </w:r>
    </w:p>
    <w:p w:rsidR="00716B0E" w:rsidRPr="00CC0BE8" w:rsidRDefault="00716B0E" w:rsidP="00716B0E">
      <w:pPr>
        <w:ind w:left="1440" w:hanging="360"/>
      </w:pPr>
      <w:r w:rsidRPr="00CC0BE8">
        <w:t>2.</w:t>
      </w:r>
      <w:r w:rsidRPr="00CC0BE8">
        <w:tab/>
        <w:t>Department QV tests.</w:t>
      </w:r>
    </w:p>
    <w:p w:rsidR="00716B0E" w:rsidRPr="00CC0BE8" w:rsidRDefault="00716B0E" w:rsidP="00716B0E">
      <w:pPr>
        <w:ind w:left="1440" w:hanging="360"/>
      </w:pPr>
      <w:r w:rsidRPr="00CC0BE8">
        <w:t>3.</w:t>
      </w:r>
      <w:r w:rsidRPr="00CC0BE8">
        <w:tab/>
        <w:t>Department IA tests.</w:t>
      </w:r>
    </w:p>
    <w:p w:rsidR="00716B0E" w:rsidRPr="00CC0BE8" w:rsidRDefault="00716B0E" w:rsidP="00716B0E">
      <w:pPr>
        <w:ind w:left="1440" w:hanging="360"/>
      </w:pPr>
      <w:r w:rsidRPr="00CC0BE8">
        <w:t>4.</w:t>
      </w:r>
      <w:r w:rsidRPr="00CC0BE8">
        <w:tab/>
        <w:t>Four-point running average of the QC tests.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B.5  Contractor</w:t>
      </w:r>
      <w:proofErr w:type="gramEnd"/>
      <w:r w:rsidRPr="00CC0BE8">
        <w:rPr>
          <w:b/>
        </w:rPr>
        <w:t xml:space="preserve"> Testing</w:t>
      </w:r>
    </w:p>
    <w:p w:rsidR="00716B0E" w:rsidRPr="00CC0BE8" w:rsidRDefault="00716B0E" w:rsidP="00716B0E">
      <w:pPr>
        <w:tabs>
          <w:tab w:val="left" w:pos="1080"/>
        </w:tabs>
        <w:ind w:left="1080" w:hanging="360"/>
      </w:pPr>
      <w:r w:rsidRPr="00CC0BE8">
        <w:rPr>
          <w:vertAlign w:val="subscript"/>
        </w:rPr>
        <w:t>(1)</w:t>
      </w:r>
      <w:r w:rsidRPr="00CC0BE8">
        <w:tab/>
        <w:t>Test gradation, fracture, liquid limit and plasticity index during placement for each base aggregate size, source or classification, and type.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rPr>
          <w:vertAlign w:val="subscript"/>
        </w:rPr>
        <w:tab/>
      </w:r>
      <w:r w:rsidRPr="00CC0BE8">
        <w:t xml:space="preserve">Perform one stockpile test from each source prior to placement. </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Test gradation once per 3000 tons of material placed or fraction thereof. Determine random sample locations and provide those sample locations to the engineer. Obtain samples after the material has been bladed, mixed, and shaped but before compacting; except collect 3</w:t>
      </w:r>
      <w:r w:rsidRPr="00CC0BE8">
        <w:noBreakHyphen/>
        <w:t xml:space="preserve">inch samples or lift thickness of 3-inch or </w:t>
      </w:r>
      <w:r>
        <w:t>less from the stockpile at load</w:t>
      </w:r>
      <w:r>
        <w:noBreakHyphen/>
      </w:r>
      <w:r w:rsidRPr="00CC0BE8">
        <w:t>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(4)</w:t>
      </w:r>
      <w:r w:rsidRPr="00CC0BE8">
        <w:tab/>
        <w:t xml:space="preserve">Split each contractor QC sample and identify it according to </w:t>
      </w:r>
      <w:r>
        <w:t>CMM 8.30. Retain the split for seven</w:t>
      </w:r>
      <w:r w:rsidRPr="00CC0BE8">
        <w:t xml:space="preserve"> calendar days in a dry, protected location. If requested for department comparison testing, deliver the split to the engineer within one business day.</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(5)</w:t>
      </w:r>
      <w:r w:rsidRPr="00CC0BE8">
        <w:tab/>
        <w:t>The engineer may require additional sampling and testing to evaluate suspect material or the technician’s sampling and testing procedures.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(6)</w:t>
      </w:r>
      <w:r w:rsidRPr="00CC0BE8">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(7)</w:t>
      </w:r>
      <w:r w:rsidRPr="00CC0BE8">
        <w:tab/>
        <w:t>Test the liquid limit and plasticity index for the first gradation test. Subsequently, test the liquid limit and plasticity index a minimum of once per 10 gradation tests.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proofErr w:type="gramStart"/>
      <w:r w:rsidRPr="00CC0BE8">
        <w:rPr>
          <w:b/>
        </w:rPr>
        <w:t>B.6  Test</w:t>
      </w:r>
      <w:proofErr w:type="gramEnd"/>
      <w:r w:rsidRPr="00CC0BE8">
        <w:rPr>
          <w:b/>
        </w:rPr>
        <w:t xml:space="preserve"> Methods</w:t>
      </w:r>
    </w:p>
    <w:p w:rsidR="00716B0E" w:rsidRPr="00CC0BE8" w:rsidRDefault="00716B0E" w:rsidP="00716B0E">
      <w:pPr>
        <w:tabs>
          <w:tab w:val="left" w:pos="1080"/>
        </w:tabs>
        <w:ind w:left="1080" w:hanging="360"/>
      </w:pPr>
      <w:proofErr w:type="gramStart"/>
      <w:r w:rsidRPr="00CC0BE8">
        <w:rPr>
          <w:b/>
        </w:rPr>
        <w:t>B.6.1  Gradation</w:t>
      </w:r>
      <w:proofErr w:type="gramEnd"/>
    </w:p>
    <w:p w:rsidR="00716B0E" w:rsidRPr="00CC0BE8" w:rsidRDefault="00716B0E" w:rsidP="00716B0E">
      <w:pPr>
        <w:tabs>
          <w:tab w:val="left" w:pos="1080"/>
        </w:tabs>
        <w:ind w:left="1080" w:hanging="360"/>
      </w:pPr>
      <w:r w:rsidRPr="00CC0BE8">
        <w:rPr>
          <w:vertAlign w:val="subscript"/>
        </w:rPr>
        <w:t>(1)</w:t>
      </w:r>
      <w:r w:rsidRPr="00CC0BE8">
        <w:tab/>
        <w:t>Test gradation using a washed analysis conforming to the following as modified in CMM 8.60:</w:t>
      </w:r>
    </w:p>
    <w:p w:rsidR="00716B0E" w:rsidRPr="00CC0BE8" w:rsidRDefault="00716B0E" w:rsidP="00716B0E">
      <w:pPr>
        <w:tabs>
          <w:tab w:val="left" w:pos="1080"/>
          <w:tab w:val="right" w:leader="dot" w:pos="9270"/>
        </w:tabs>
        <w:ind w:left="1080" w:hanging="360"/>
      </w:pPr>
      <w:r w:rsidRPr="00CC0BE8">
        <w:tab/>
        <w:t>Gradation</w:t>
      </w:r>
      <w:r w:rsidRPr="00CC0BE8">
        <w:tab/>
        <w:t>AASHTO T 27</w:t>
      </w:r>
    </w:p>
    <w:p w:rsidR="00716B0E" w:rsidRPr="00CC0BE8" w:rsidRDefault="00716B0E" w:rsidP="00716B0E">
      <w:pPr>
        <w:tabs>
          <w:tab w:val="left" w:pos="1080"/>
          <w:tab w:val="right" w:leader="dot" w:pos="9270"/>
        </w:tabs>
        <w:ind w:left="1080" w:hanging="360"/>
      </w:pPr>
      <w:r w:rsidRPr="00CC0BE8">
        <w:tab/>
        <w:t>Material finer than the No. 200 sieve</w:t>
      </w:r>
      <w:r w:rsidRPr="00CC0BE8">
        <w:tab/>
        <w:t>AASHTO T 11</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 xml:space="preserve">For 3-inch base, if </w:t>
      </w:r>
      <w:r>
        <w:t>3</w:t>
      </w:r>
      <w:r w:rsidRPr="00CC0BE8">
        <w:t xml:space="preserve">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716B0E" w:rsidRPr="00CC0BE8" w:rsidRDefault="00716B0E" w:rsidP="00716B0E">
      <w:pPr>
        <w:ind w:left="1080"/>
      </w:pPr>
      <w:r w:rsidRPr="00CC0BE8">
        <w:t>1.</w:t>
      </w:r>
      <w:r w:rsidRPr="00CC0BE8">
        <w:tab/>
        <w:t>Control limits are at the upper and lower specification limits.</w:t>
      </w:r>
    </w:p>
    <w:p w:rsidR="00716B0E" w:rsidRPr="00CC0BE8" w:rsidRDefault="00716B0E" w:rsidP="00716B0E">
      <w:pPr>
        <w:ind w:left="1440" w:hanging="360"/>
      </w:pPr>
      <w:r w:rsidRPr="00CC0BE8">
        <w:t>2.</w:t>
      </w:r>
      <w:r w:rsidRPr="00CC0BE8">
        <w:tab/>
        <w:t>There are no upper warning limits for sieves allowing 100 percent passing and no lower control limits for sieves allowing 0 percent passing.</w:t>
      </w:r>
    </w:p>
    <w:p w:rsidR="00716B0E" w:rsidRPr="00CC0BE8" w:rsidRDefault="00716B0E" w:rsidP="00716B0E">
      <w:pPr>
        <w:ind w:left="1440" w:hanging="360"/>
      </w:pPr>
      <w:r w:rsidRPr="00CC0BE8">
        <w:lastRenderedPageBreak/>
        <w:t>3.</w:t>
      </w:r>
      <w:r w:rsidRPr="00CC0BE8">
        <w:tab/>
        <w:t>Dense graded warning limits, except for the No. 200 sieve, are 2 percent within the upper and lower control limits. Warning limits for the No. 200 sieve are set 0.5 percent within the upper and lower control limits.</w:t>
      </w:r>
    </w:p>
    <w:p w:rsidR="00716B0E" w:rsidRPr="00CC0BE8" w:rsidRDefault="00716B0E" w:rsidP="00716B0E">
      <w:pPr>
        <w:ind w:left="1440" w:hanging="360"/>
      </w:pPr>
      <w:r w:rsidRPr="00CC0BE8">
        <w:t>4.</w:t>
      </w:r>
      <w:r w:rsidRPr="00CC0BE8">
        <w:tab/>
        <w:t>Open graded warning limits for the 1-inch, 3/8-inch, and No. 4 sieves are 2 percent within the upper and lower control limits. Upper warning limits for the No. 10, No. 40, and No. 200 sieves are 1 percent inside the upper control limit.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B.6.2  Fracture</w:t>
      </w:r>
      <w:proofErr w:type="gramEnd"/>
    </w:p>
    <w:p w:rsidR="00716B0E" w:rsidRPr="00CC0BE8" w:rsidRDefault="00716B0E" w:rsidP="00716B0E">
      <w:pPr>
        <w:tabs>
          <w:tab w:val="left" w:pos="1080"/>
        </w:tabs>
        <w:ind w:left="1080" w:hanging="360"/>
      </w:pPr>
      <w:r w:rsidRPr="00CC0BE8">
        <w:rPr>
          <w:vertAlign w:val="subscript"/>
        </w:rPr>
        <w:t>(1)</w:t>
      </w:r>
      <w:r w:rsidRPr="00CC0BE8">
        <w:tab/>
        <w:t>Test fracture conforming to CMM 8.60. The engineer will waive fractured particle testing on quarried stone.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B.6.3  Liquid</w:t>
      </w:r>
      <w:proofErr w:type="gramEnd"/>
      <w:r w:rsidRPr="00CC0BE8">
        <w:rPr>
          <w:b/>
        </w:rPr>
        <w:t xml:space="preserve"> Limit and Plasticity</w:t>
      </w:r>
    </w:p>
    <w:p w:rsidR="00716B0E" w:rsidRPr="00CC0BE8" w:rsidRDefault="00716B0E" w:rsidP="00716B0E">
      <w:pPr>
        <w:tabs>
          <w:tab w:val="left" w:pos="1080"/>
        </w:tabs>
        <w:ind w:left="1080" w:hanging="360"/>
      </w:pPr>
      <w:r w:rsidRPr="00CC0BE8">
        <w:rPr>
          <w:vertAlign w:val="subscript"/>
        </w:rPr>
        <w:t>(1)</w:t>
      </w:r>
      <w:r w:rsidRPr="00CC0BE8">
        <w:tab/>
        <w:t>Test the liquid limit and plasticity according to AASHTO T 89 and T 90.</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Ensure the material conforms to the limits specified in standard spec table 301-2.</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proofErr w:type="gramStart"/>
      <w:r w:rsidRPr="00CC0BE8">
        <w:rPr>
          <w:b/>
        </w:rPr>
        <w:t>B.7  Corrective</w:t>
      </w:r>
      <w:proofErr w:type="gramEnd"/>
      <w:r w:rsidRPr="00CC0BE8">
        <w:rPr>
          <w:b/>
        </w:rPr>
        <w:t xml:space="preserve"> Action</w:t>
      </w:r>
    </w:p>
    <w:p w:rsidR="00716B0E" w:rsidRPr="00CC0BE8" w:rsidRDefault="00716B0E" w:rsidP="00716B0E">
      <w:pPr>
        <w:tabs>
          <w:tab w:val="left" w:pos="1080"/>
        </w:tabs>
        <w:ind w:left="1080" w:hanging="360"/>
      </w:pPr>
      <w:proofErr w:type="gramStart"/>
      <w:r w:rsidRPr="00CC0BE8">
        <w:rPr>
          <w:b/>
        </w:rPr>
        <w:t>B.7.1  General</w:t>
      </w:r>
      <w:proofErr w:type="gramEnd"/>
    </w:p>
    <w:p w:rsidR="00716B0E" w:rsidRPr="00CC0BE8" w:rsidRDefault="00716B0E" w:rsidP="00716B0E">
      <w:pPr>
        <w:tabs>
          <w:tab w:val="left" w:pos="1080"/>
        </w:tabs>
        <w:ind w:left="1080" w:hanging="360"/>
      </w:pPr>
      <w:r w:rsidRPr="00CC0BE8">
        <w:rPr>
          <w:vertAlign w:val="subscript"/>
        </w:rPr>
        <w:t>(1)</w:t>
      </w:r>
      <w:r w:rsidRPr="00CC0BE8">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B.7.2  Placement</w:t>
      </w:r>
      <w:proofErr w:type="gramEnd"/>
      <w:r w:rsidRPr="00CC0BE8">
        <w:rPr>
          <w:b/>
        </w:rPr>
        <w:t xml:space="preserve"> Corrective Action</w:t>
      </w:r>
    </w:p>
    <w:p w:rsidR="00716B0E" w:rsidRPr="00CC0BE8" w:rsidRDefault="00716B0E" w:rsidP="00716B0E">
      <w:pPr>
        <w:tabs>
          <w:tab w:val="left" w:pos="1080"/>
        </w:tabs>
        <w:ind w:left="1080" w:hanging="360"/>
      </w:pPr>
      <w:r w:rsidRPr="00CC0BE8">
        <w:rPr>
          <w:vertAlign w:val="subscript"/>
        </w:rPr>
        <w:t>(1)</w:t>
      </w:r>
      <w:r w:rsidRPr="00CC0BE8">
        <w:tab/>
        <w:t>Do not blend additional material on the roadbed to correct gradation problems.</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716B0E" w:rsidRPr="00CC0BE8" w:rsidRDefault="00716B0E" w:rsidP="00716B0E">
      <w:pPr>
        <w:ind w:left="1440" w:hanging="360"/>
      </w:pPr>
      <w:r w:rsidRPr="00CC0BE8">
        <w:t>1.</w:t>
      </w:r>
      <w:r w:rsidRPr="00CC0BE8">
        <w:tab/>
        <w:t>For gradation, increase the QC testing frequency to at least one randomly sampled test per 1000 tons placed.</w:t>
      </w:r>
    </w:p>
    <w:p w:rsidR="00716B0E" w:rsidRPr="00CC0BE8" w:rsidRDefault="00716B0E" w:rsidP="00716B0E">
      <w:pPr>
        <w:ind w:left="1440" w:hanging="360"/>
      </w:pPr>
      <w:r w:rsidRPr="00CC0BE8">
        <w:t>2.</w:t>
      </w:r>
      <w:r w:rsidRPr="00CC0BE8">
        <w:tab/>
        <w:t>For fracture, increase the QC testing frequency to at least one test per gradation test.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 xml:space="preserve">If corrective action improves the property in question such </w:t>
      </w:r>
      <w:r>
        <w:t>that the running average after four</w:t>
      </w:r>
      <w:r w:rsidRPr="00CC0BE8">
        <w:t xml:space="preserve"> additional tests is within the warning limits, the contractor may return to the testing frequency specified in B.5.3. If corrective action does not improve the property in question such </w:t>
      </w:r>
      <w:r>
        <w:t>that the running average after four</w:t>
      </w:r>
      <w:r w:rsidRPr="00CC0BE8">
        <w:t xml:space="preserve"> additional individual tests is still in the warning band, repeat the steps outlined above starting with engineer notification.</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lastRenderedPageBreak/>
        <w:t>(4)</w:t>
      </w:r>
      <w:r w:rsidRPr="00CC0BE8">
        <w:tab/>
        <w:t>If the running average exceeds a control limit, material starting from the first running average exceeding the control limit and ending at the first subsequent running average inside the control limit is nonconforming and subject to pay reduction.</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(5)</w:t>
      </w:r>
      <w:r w:rsidRPr="00CC0BE8">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716B0E" w:rsidRPr="00CC0BE8" w:rsidRDefault="00716B0E" w:rsidP="00716B0E">
      <w:pPr>
        <w:ind w:left="1440" w:hanging="360"/>
      </w:pPr>
      <w:r w:rsidRPr="00CC0BE8">
        <w:t>1.</w:t>
      </w:r>
      <w:r w:rsidRPr="00CC0BE8">
        <w:tab/>
        <w:t>A gradation control limit for the No. 200 sieve is exceeded by more than 3.0 percent.</w:t>
      </w:r>
    </w:p>
    <w:p w:rsidR="00716B0E" w:rsidRPr="00CC0BE8" w:rsidRDefault="00716B0E" w:rsidP="00716B0E">
      <w:pPr>
        <w:ind w:left="1440" w:hanging="360"/>
      </w:pPr>
      <w:r w:rsidRPr="00CC0BE8">
        <w:t>2.</w:t>
      </w:r>
      <w:r w:rsidRPr="00CC0BE8">
        <w:tab/>
        <w:t>A gradation control limit for any sieve, except the No. 200, is exceeded by more than 5.0 percent.</w:t>
      </w:r>
    </w:p>
    <w:p w:rsidR="00716B0E" w:rsidRPr="00CC0BE8" w:rsidRDefault="00716B0E" w:rsidP="00716B0E">
      <w:pPr>
        <w:ind w:left="1440" w:hanging="360"/>
      </w:pPr>
      <w:r w:rsidRPr="00CC0BE8">
        <w:t>3.</w:t>
      </w:r>
      <w:r w:rsidRPr="00CC0BE8">
        <w:tab/>
        <w:t>The fracture control limit is exceeded by more than 10.0 percent.</w:t>
      </w:r>
    </w:p>
    <w:p w:rsidR="00716B0E" w:rsidRPr="00CC0BE8" w:rsidRDefault="00716B0E" w:rsidP="00716B0E">
      <w:pPr>
        <w:tabs>
          <w:tab w:val="left" w:pos="1080"/>
        </w:tabs>
      </w:pPr>
    </w:p>
    <w:p w:rsidR="00716B0E" w:rsidRPr="00CC0BE8" w:rsidRDefault="00716B0E" w:rsidP="00716B0E">
      <w:pPr>
        <w:tabs>
          <w:tab w:val="left" w:pos="1080"/>
        </w:tabs>
        <w:ind w:left="1080" w:hanging="360"/>
        <w:rPr>
          <w:b/>
        </w:rPr>
      </w:pPr>
      <w:proofErr w:type="gramStart"/>
      <w:r w:rsidRPr="00CC0BE8">
        <w:rPr>
          <w:b/>
        </w:rPr>
        <w:t>B.8  Department</w:t>
      </w:r>
      <w:proofErr w:type="gramEnd"/>
      <w:r w:rsidRPr="00CC0BE8">
        <w:rPr>
          <w:b/>
        </w:rPr>
        <w:t xml:space="preserve"> Testing</w:t>
      </w:r>
    </w:p>
    <w:p w:rsidR="00716B0E" w:rsidRPr="00CC0BE8" w:rsidRDefault="00716B0E" w:rsidP="00716B0E">
      <w:pPr>
        <w:tabs>
          <w:tab w:val="left" w:pos="1080"/>
        </w:tabs>
        <w:ind w:left="1080" w:hanging="360"/>
      </w:pPr>
      <w:proofErr w:type="gramStart"/>
      <w:r w:rsidRPr="00CC0BE8">
        <w:rPr>
          <w:b/>
        </w:rPr>
        <w:t>B.8.1  General</w:t>
      </w:r>
      <w:proofErr w:type="gramEnd"/>
    </w:p>
    <w:p w:rsidR="00716B0E" w:rsidRPr="00CC0BE8" w:rsidRDefault="00716B0E" w:rsidP="00716B0E">
      <w:pPr>
        <w:tabs>
          <w:tab w:val="left" w:pos="1080"/>
        </w:tabs>
        <w:ind w:left="1080" w:hanging="360"/>
      </w:pPr>
      <w:r w:rsidRPr="00CC0BE8">
        <w:rPr>
          <w:vertAlign w:val="subscript"/>
        </w:rPr>
        <w:t>(1)</w:t>
      </w:r>
      <w:r w:rsidRPr="00CC0BE8">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proofErr w:type="gramStart"/>
      <w:r w:rsidRPr="00CC0BE8">
        <w:rPr>
          <w:b/>
        </w:rPr>
        <w:t>B.8.2  Verification</w:t>
      </w:r>
      <w:proofErr w:type="gramEnd"/>
      <w:r w:rsidRPr="00CC0BE8">
        <w:rPr>
          <w:b/>
        </w:rPr>
        <w:t xml:space="preserve"> Testing</w:t>
      </w:r>
    </w:p>
    <w:p w:rsidR="00716B0E" w:rsidRPr="00CC0BE8" w:rsidRDefault="00716B0E" w:rsidP="00716B0E">
      <w:pPr>
        <w:tabs>
          <w:tab w:val="left" w:pos="1080"/>
        </w:tabs>
        <w:ind w:left="1080" w:hanging="360"/>
      </w:pPr>
      <w:proofErr w:type="gramStart"/>
      <w:r w:rsidRPr="00CC0BE8">
        <w:rPr>
          <w:b/>
        </w:rPr>
        <w:t>B.8.2.1  General</w:t>
      </w:r>
      <w:proofErr w:type="gramEnd"/>
    </w:p>
    <w:p w:rsidR="00716B0E" w:rsidRPr="00CC0BE8" w:rsidRDefault="00716B0E" w:rsidP="00716B0E">
      <w:pPr>
        <w:tabs>
          <w:tab w:val="left" w:pos="1080"/>
        </w:tabs>
        <w:ind w:left="1080" w:hanging="360"/>
      </w:pPr>
      <w:r w:rsidRPr="00CC0BE8">
        <w:rPr>
          <w:vertAlign w:val="subscript"/>
        </w:rPr>
        <w:t>(1)</w:t>
      </w:r>
      <w:r w:rsidRPr="00CC0BE8">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The department will conduct QV tests of each base aggregate size, source or classification, and type during placement conforming to the following:</w:t>
      </w:r>
    </w:p>
    <w:p w:rsidR="00716B0E" w:rsidRPr="00CC0BE8" w:rsidRDefault="00716B0E" w:rsidP="00716B0E">
      <w:pPr>
        <w:ind w:left="1440" w:hanging="360"/>
      </w:pPr>
      <w:r w:rsidRPr="00CC0BE8">
        <w:t>1.</w:t>
      </w:r>
      <w:r w:rsidRPr="00CC0BE8">
        <w:tab/>
        <w:t>Perform one stockpile test from each source prior to placement.</w:t>
      </w:r>
    </w:p>
    <w:p w:rsidR="00716B0E" w:rsidRPr="00CC0BE8" w:rsidRDefault="00716B0E" w:rsidP="00716B0E">
      <w:pPr>
        <w:ind w:left="1440" w:hanging="360"/>
      </w:pPr>
      <w:r w:rsidRPr="00CC0BE8">
        <w:t>2.</w:t>
      </w:r>
      <w:r w:rsidRPr="00CC0BE8">
        <w:tab/>
        <w:t>At least one random test per 30,000 tons, or fraction of 30,000 tons, placed.</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The department will sample randomly, at locations independent of the contractor’s QC work, collecting one sample at each QV location. The department will collect QV samples after the material has been bladed, mixed, and shaped but before compacting; except, for 3-inch aggregates or for a lift thickness of 3-inch or less, the department will collect samples at load-out. The department will split each sample, test half for QV, and retain half.</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lastRenderedPageBreak/>
        <w:t>(4)</w:t>
      </w:r>
      <w:r w:rsidRPr="00CC0BE8">
        <w:tab/>
        <w:t>The department will conduct QV tests in a separate laboratory and with separate equipment from the contractor’s QC tests. The department will use the same methods specified for QC testing.</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(5)</w:t>
      </w:r>
      <w:r w:rsidRPr="00CC0BE8">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B.8.3  Independent</w:t>
      </w:r>
      <w:proofErr w:type="gramEnd"/>
      <w:r w:rsidRPr="00CC0BE8">
        <w:rPr>
          <w:b/>
        </w:rPr>
        <w:t xml:space="preserve"> Assurance</w:t>
      </w:r>
    </w:p>
    <w:p w:rsidR="00716B0E" w:rsidRPr="00CC0BE8" w:rsidRDefault="00716B0E" w:rsidP="00716B0E">
      <w:pPr>
        <w:tabs>
          <w:tab w:val="left" w:pos="1080"/>
        </w:tabs>
        <w:ind w:left="1080" w:hanging="360"/>
      </w:pPr>
      <w:r w:rsidRPr="00CC0BE8">
        <w:rPr>
          <w:vertAlign w:val="subscript"/>
        </w:rPr>
        <w:t>(1)</w:t>
      </w:r>
      <w:r w:rsidRPr="00CC0BE8">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716B0E" w:rsidRPr="00CC0BE8" w:rsidRDefault="00716B0E" w:rsidP="00716B0E">
      <w:pPr>
        <w:ind w:firstLine="360"/>
      </w:pPr>
      <w:r w:rsidRPr="00CC0BE8">
        <w:t>1.</w:t>
      </w:r>
      <w:r w:rsidRPr="00CC0BE8">
        <w:tab/>
        <w:t>Split sample testing.</w:t>
      </w:r>
    </w:p>
    <w:p w:rsidR="00716B0E" w:rsidRPr="00CC0BE8" w:rsidRDefault="00716B0E" w:rsidP="00716B0E">
      <w:pPr>
        <w:ind w:firstLine="360"/>
      </w:pPr>
      <w:r w:rsidRPr="00CC0BE8">
        <w:t>2.</w:t>
      </w:r>
      <w:r w:rsidRPr="00CC0BE8">
        <w:tab/>
        <w:t>Proficiency sample testing.</w:t>
      </w:r>
    </w:p>
    <w:p w:rsidR="00716B0E" w:rsidRPr="00CC0BE8" w:rsidRDefault="00716B0E" w:rsidP="00716B0E">
      <w:pPr>
        <w:ind w:firstLine="360"/>
      </w:pPr>
      <w:r w:rsidRPr="00CC0BE8">
        <w:t>3.</w:t>
      </w:r>
      <w:r w:rsidRPr="00CC0BE8">
        <w:tab/>
        <w:t>Witnessing sampling and testing.</w:t>
      </w:r>
    </w:p>
    <w:p w:rsidR="00716B0E" w:rsidRPr="00CC0BE8" w:rsidRDefault="00716B0E" w:rsidP="00716B0E">
      <w:pPr>
        <w:ind w:firstLine="360"/>
      </w:pPr>
      <w:r w:rsidRPr="00CC0BE8">
        <w:t>4.</w:t>
      </w:r>
      <w:r w:rsidRPr="00CC0BE8">
        <w:tab/>
        <w:t>Test equipment calibration checks.</w:t>
      </w:r>
    </w:p>
    <w:p w:rsidR="00716B0E" w:rsidRPr="00CC0BE8" w:rsidRDefault="00716B0E" w:rsidP="00716B0E">
      <w:pPr>
        <w:ind w:firstLine="360"/>
      </w:pPr>
      <w:r w:rsidRPr="00CC0BE8">
        <w:t>5.</w:t>
      </w:r>
      <w:r w:rsidRPr="00CC0BE8">
        <w:tab/>
        <w:t>Reviewing required worksheets and control charts.</w:t>
      </w:r>
    </w:p>
    <w:p w:rsidR="00716B0E" w:rsidRPr="00CC0BE8" w:rsidRDefault="00716B0E" w:rsidP="00716B0E">
      <w:pPr>
        <w:ind w:firstLine="360"/>
      </w:pPr>
      <w:r w:rsidRPr="00CC0BE8">
        <w:t>6.</w:t>
      </w:r>
      <w:r w:rsidRPr="00CC0BE8">
        <w:tab/>
        <w:t>Requesting that testing personnel perform additional sampling and testing.</w:t>
      </w:r>
    </w:p>
    <w:p w:rsidR="00716B0E" w:rsidRPr="00CC0BE8" w:rsidRDefault="00716B0E" w:rsidP="00716B0E">
      <w:pPr>
        <w:tabs>
          <w:tab w:val="left" w:pos="1080"/>
        </w:tabs>
      </w:pPr>
    </w:p>
    <w:p w:rsidR="00716B0E" w:rsidRPr="00CC0BE8" w:rsidRDefault="00716B0E" w:rsidP="00716B0E">
      <w:pPr>
        <w:tabs>
          <w:tab w:val="left" w:pos="1080"/>
        </w:tabs>
        <w:ind w:left="1080" w:hanging="360"/>
      </w:pPr>
      <w:r w:rsidRPr="00CC0BE8">
        <w:rPr>
          <w:vertAlign w:val="subscript"/>
        </w:rPr>
        <w:t>(2)</w:t>
      </w:r>
      <w:r w:rsidRPr="00CC0BE8">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proofErr w:type="gramStart"/>
      <w:r w:rsidRPr="00CC0BE8">
        <w:rPr>
          <w:b/>
        </w:rPr>
        <w:t>B.9  Dispute</w:t>
      </w:r>
      <w:proofErr w:type="gramEnd"/>
      <w:r w:rsidRPr="00CC0BE8">
        <w:rPr>
          <w:b/>
        </w:rPr>
        <w:t xml:space="preserve"> Resolution</w:t>
      </w:r>
    </w:p>
    <w:p w:rsidR="00716B0E" w:rsidRPr="00CC0BE8" w:rsidRDefault="00716B0E" w:rsidP="00716B0E">
      <w:pPr>
        <w:tabs>
          <w:tab w:val="left" w:pos="1080"/>
        </w:tabs>
        <w:ind w:left="1080" w:hanging="360"/>
      </w:pPr>
      <w:r w:rsidRPr="00CC0BE8">
        <w:rPr>
          <w:vertAlign w:val="subscript"/>
        </w:rPr>
        <w:t>(1)</w:t>
      </w:r>
      <w:r w:rsidRPr="00CC0BE8">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Production test results, and results from other process control testing, may be considered when resolving a dispute.</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(3)</w:t>
      </w:r>
      <w:r w:rsidRPr="00CC0BE8">
        <w:tab/>
        <w:t xml:space="preserve">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w:t>
      </w:r>
      <w:r w:rsidRPr="00CC0BE8">
        <w:lastRenderedPageBreak/>
        <w:t>or otherwise determine the final disposition of nonconforming material as specified in standard spec 106.5.</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rPr>
          <w:b/>
        </w:rPr>
      </w:pPr>
      <w:proofErr w:type="gramStart"/>
      <w:r w:rsidRPr="00CC0BE8">
        <w:rPr>
          <w:b/>
        </w:rPr>
        <w:t>C  (</w:t>
      </w:r>
      <w:proofErr w:type="gramEnd"/>
      <w:r w:rsidRPr="00CC0BE8">
        <w:rPr>
          <w:b/>
        </w:rPr>
        <w:t>Vacant)</w:t>
      </w:r>
    </w:p>
    <w:p w:rsidR="00716B0E" w:rsidRPr="00CC0BE8" w:rsidRDefault="00716B0E" w:rsidP="00716B0E">
      <w:pPr>
        <w:tabs>
          <w:tab w:val="left" w:pos="1080"/>
        </w:tabs>
        <w:ind w:left="1080" w:hanging="360"/>
        <w:rPr>
          <w:b/>
        </w:rPr>
      </w:pPr>
    </w:p>
    <w:p w:rsidR="00716B0E" w:rsidRPr="00CC0BE8" w:rsidRDefault="00716B0E" w:rsidP="00716B0E">
      <w:pPr>
        <w:tabs>
          <w:tab w:val="left" w:pos="1080"/>
        </w:tabs>
        <w:ind w:left="1080" w:hanging="360"/>
        <w:rPr>
          <w:b/>
        </w:rPr>
      </w:pPr>
      <w:proofErr w:type="gramStart"/>
      <w:r w:rsidRPr="00CC0BE8">
        <w:rPr>
          <w:b/>
        </w:rPr>
        <w:t>D  (</w:t>
      </w:r>
      <w:proofErr w:type="gramEnd"/>
      <w:r w:rsidRPr="00CC0BE8">
        <w:rPr>
          <w:b/>
        </w:rPr>
        <w:t>Vacant)</w:t>
      </w:r>
    </w:p>
    <w:p w:rsidR="00716B0E" w:rsidRPr="00CC0BE8" w:rsidRDefault="00716B0E" w:rsidP="00716B0E">
      <w:pPr>
        <w:tabs>
          <w:tab w:val="left" w:pos="1080"/>
        </w:tabs>
        <w:ind w:left="1080" w:hanging="360"/>
        <w:rPr>
          <w:b/>
        </w:rPr>
      </w:pPr>
    </w:p>
    <w:p w:rsidR="00716B0E" w:rsidRPr="00CC0BE8" w:rsidRDefault="00716B0E" w:rsidP="00716B0E">
      <w:pPr>
        <w:tabs>
          <w:tab w:val="left" w:pos="1080"/>
        </w:tabs>
        <w:ind w:left="1080" w:hanging="360"/>
      </w:pPr>
      <w:r w:rsidRPr="00CC0BE8">
        <w:rPr>
          <w:b/>
        </w:rPr>
        <w:t>E  Payment</w:t>
      </w:r>
    </w:p>
    <w:p w:rsidR="00716B0E" w:rsidRPr="00CC0BE8" w:rsidRDefault="00716B0E" w:rsidP="00716B0E">
      <w:pPr>
        <w:tabs>
          <w:tab w:val="left" w:pos="1080"/>
        </w:tabs>
        <w:ind w:left="1080" w:hanging="360"/>
      </w:pPr>
      <w:r w:rsidRPr="00CC0BE8">
        <w:rPr>
          <w:vertAlign w:val="subscript"/>
        </w:rPr>
        <w:t>(1)</w:t>
      </w:r>
      <w:r w:rsidRPr="00CC0BE8">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716B0E" w:rsidRPr="00CC0BE8" w:rsidRDefault="00716B0E" w:rsidP="00716B0E">
      <w:pPr>
        <w:tabs>
          <w:tab w:val="left" w:pos="1080"/>
        </w:tabs>
        <w:ind w:left="1080" w:hanging="360"/>
      </w:pPr>
    </w:p>
    <w:p w:rsidR="00716B0E" w:rsidRPr="00CC0BE8" w:rsidRDefault="00716B0E" w:rsidP="00716B0E">
      <w:pPr>
        <w:tabs>
          <w:tab w:val="left" w:pos="1080"/>
        </w:tabs>
        <w:ind w:left="1080" w:hanging="360"/>
      </w:pPr>
      <w:r w:rsidRPr="00CC0BE8">
        <w:rPr>
          <w:vertAlign w:val="subscript"/>
        </w:rPr>
        <w:t>(2)</w:t>
      </w:r>
      <w:r w:rsidRPr="00CC0BE8">
        <w:tab/>
        <w:t>For material represented by a running average exceeding a control limit, the department will reduce pay according to CMM 8-10.6.2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716B0E" w:rsidRDefault="00716B0E" w:rsidP="00716B0E">
      <w:proofErr w:type="gramStart"/>
      <w:r>
        <w:t>stp-</w:t>
      </w:r>
      <w:r w:rsidRPr="00F32CC5">
        <w:t>301-010</w:t>
      </w:r>
      <w:proofErr w:type="gramEnd"/>
      <w:r w:rsidRPr="00F32CC5">
        <w:t xml:space="preserve"> (</w:t>
      </w:r>
      <w:r>
        <w:t>20161130</w:t>
      </w:r>
      <w:r w:rsidRPr="00F32CC5">
        <w:t>)</w:t>
      </w:r>
    </w:p>
    <w:bookmarkEnd w:id="13"/>
    <w:sectPr w:rsidR="00716B0E"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E8" w:rsidRDefault="00F814E8">
      <w:r>
        <w:separator/>
      </w:r>
    </w:p>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endnote>
  <w:endnote w:type="continuationSeparator" w:id="0">
    <w:p w:rsidR="00F814E8" w:rsidRDefault="00F814E8">
      <w:r>
        <w:continuationSeparator/>
      </w:r>
    </w:p>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endnote>
  <w:endnote w:type="continuationNotice" w:id="1">
    <w:p w:rsidR="00F814E8" w:rsidRDefault="00F814E8"/>
    <w:p w:rsidR="00F814E8" w:rsidRDefault="00F8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8" w:rsidRDefault="0098230D">
    <w:pPr>
      <w:pStyle w:val="Footer"/>
    </w:pPr>
    <w:r>
      <w:t>6188-01-71</w:t>
    </w:r>
    <w:r w:rsidR="00F814E8">
      <w:tab/>
    </w:r>
    <w:r w:rsidR="00F814E8">
      <w:tab/>
    </w:r>
    <w:sdt>
      <w:sdtPr>
        <w:id w:val="2055651052"/>
        <w:docPartObj>
          <w:docPartGallery w:val="Page Numbers (Top of Page)"/>
          <w:docPartUnique/>
        </w:docPartObj>
      </w:sdtPr>
      <w:sdtEndPr/>
      <w:sdtContent>
        <w:r w:rsidR="00F814E8">
          <w:fldChar w:fldCharType="begin"/>
        </w:r>
        <w:r w:rsidR="00F814E8">
          <w:instrText xml:space="preserve"> PAGE </w:instrText>
        </w:r>
        <w:r w:rsidR="00F814E8">
          <w:fldChar w:fldCharType="separate"/>
        </w:r>
        <w:r w:rsidR="00212A62">
          <w:rPr>
            <w:noProof/>
          </w:rPr>
          <w:t>1</w:t>
        </w:r>
        <w:r w:rsidR="00F814E8">
          <w:rPr>
            <w:noProof/>
          </w:rPr>
          <w:fldChar w:fldCharType="end"/>
        </w:r>
        <w:r w:rsidR="00F814E8">
          <w:t xml:space="preserve"> of </w:t>
        </w:r>
        <w:r w:rsidR="00212A62">
          <w:fldChar w:fldCharType="begin"/>
        </w:r>
        <w:r w:rsidR="00212A62">
          <w:instrText xml:space="preserve"> NUMPAGES  </w:instrText>
        </w:r>
        <w:r w:rsidR="00212A62">
          <w:fldChar w:fldCharType="separate"/>
        </w:r>
        <w:r w:rsidR="00212A62">
          <w:rPr>
            <w:noProof/>
          </w:rPr>
          <w:t>16</w:t>
        </w:r>
        <w:r w:rsidR="00212A6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E8" w:rsidRDefault="00F814E8">
      <w:r>
        <w:separator/>
      </w:r>
    </w:p>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footnote>
  <w:footnote w:type="continuationSeparator" w:id="0">
    <w:p w:rsidR="00F814E8" w:rsidRDefault="00F814E8">
      <w:r>
        <w:continuationSeparator/>
      </w:r>
    </w:p>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p w:rsidR="00F814E8" w:rsidRDefault="00F814E8"/>
  </w:footnote>
  <w:footnote w:type="continuationNotice" w:id="1">
    <w:p w:rsidR="00F814E8" w:rsidRDefault="00F814E8"/>
    <w:p w:rsidR="00F814E8" w:rsidRDefault="00F814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300FFF"/>
    <w:multiLevelType w:val="hybridMultilevel"/>
    <w:tmpl w:val="1AD02270"/>
    <w:lvl w:ilvl="0" w:tplc="56264EF2">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15:restartNumberingAfterBreak="0">
    <w:nsid w:val="3EAF01F0"/>
    <w:multiLevelType w:val="hybridMultilevel"/>
    <w:tmpl w:val="CDF0151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1"/>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2"/>
  </w:num>
  <w:num w:numId="11">
    <w:abstractNumId w:val="33"/>
  </w:num>
  <w:num w:numId="12">
    <w:abstractNumId w:val="4"/>
  </w:num>
  <w:num w:numId="13">
    <w:abstractNumId w:val="30"/>
  </w:num>
  <w:num w:numId="14">
    <w:abstractNumId w:val="22"/>
  </w:num>
  <w:num w:numId="15">
    <w:abstractNumId w:val="2"/>
  </w:num>
  <w:num w:numId="16">
    <w:abstractNumId w:val="25"/>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7"/>
  </w:num>
  <w:num w:numId="26">
    <w:abstractNumId w:val="13"/>
  </w:num>
  <w:num w:numId="27">
    <w:abstractNumId w:val="24"/>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9"/>
  </w:num>
  <w:num w:numId="36">
    <w:abstractNumId w:val="28"/>
  </w:num>
  <w:num w:numId="37">
    <w:abstractNumId w:val="34"/>
  </w:num>
  <w:num w:numId="38">
    <w:abstractNumId w:val="12"/>
  </w:num>
  <w:num w:numId="39">
    <w:abstractNumId w:val="39"/>
  </w:num>
  <w:num w:numId="40">
    <w:abstractNumId w:val="0"/>
  </w:num>
  <w:num w:numId="41">
    <w:abstractNumId w:val="11"/>
  </w:num>
  <w:num w:numId="42">
    <w:abstractNumId w:val="26"/>
  </w:num>
  <w:num w:numId="43">
    <w:abstractNumId w:val="9"/>
  </w:num>
  <w:num w:numId="4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58"/>
    <w:rsid w:val="00002A93"/>
    <w:rsid w:val="00002E61"/>
    <w:rsid w:val="00011A38"/>
    <w:rsid w:val="0001243B"/>
    <w:rsid w:val="000138C0"/>
    <w:rsid w:val="00014FC5"/>
    <w:rsid w:val="00015CAF"/>
    <w:rsid w:val="000236A1"/>
    <w:rsid w:val="00025F98"/>
    <w:rsid w:val="000278B0"/>
    <w:rsid w:val="00030E0D"/>
    <w:rsid w:val="0003239F"/>
    <w:rsid w:val="00044827"/>
    <w:rsid w:val="000458A6"/>
    <w:rsid w:val="00046EA4"/>
    <w:rsid w:val="00053D1C"/>
    <w:rsid w:val="0006236D"/>
    <w:rsid w:val="0006267D"/>
    <w:rsid w:val="00062AB2"/>
    <w:rsid w:val="00063A78"/>
    <w:rsid w:val="00066DCE"/>
    <w:rsid w:val="00067275"/>
    <w:rsid w:val="00072FAE"/>
    <w:rsid w:val="00085D86"/>
    <w:rsid w:val="00093EE3"/>
    <w:rsid w:val="000A4852"/>
    <w:rsid w:val="000B2D96"/>
    <w:rsid w:val="000B6EC1"/>
    <w:rsid w:val="000B77FC"/>
    <w:rsid w:val="000B780E"/>
    <w:rsid w:val="000C32DA"/>
    <w:rsid w:val="000D4996"/>
    <w:rsid w:val="000D4AE6"/>
    <w:rsid w:val="000E37E9"/>
    <w:rsid w:val="00100222"/>
    <w:rsid w:val="00101FA4"/>
    <w:rsid w:val="00103A73"/>
    <w:rsid w:val="0011221F"/>
    <w:rsid w:val="0011750B"/>
    <w:rsid w:val="00120633"/>
    <w:rsid w:val="00120863"/>
    <w:rsid w:val="00125F1A"/>
    <w:rsid w:val="001266AD"/>
    <w:rsid w:val="00130A2F"/>
    <w:rsid w:val="00134F9B"/>
    <w:rsid w:val="00151BC1"/>
    <w:rsid w:val="00157F82"/>
    <w:rsid w:val="00162B86"/>
    <w:rsid w:val="00186A0E"/>
    <w:rsid w:val="00192164"/>
    <w:rsid w:val="001A6E10"/>
    <w:rsid w:val="001A7ADB"/>
    <w:rsid w:val="001B0216"/>
    <w:rsid w:val="001B0816"/>
    <w:rsid w:val="001B20FA"/>
    <w:rsid w:val="001B59AC"/>
    <w:rsid w:val="001B5A2E"/>
    <w:rsid w:val="001B79E4"/>
    <w:rsid w:val="001C4CCC"/>
    <w:rsid w:val="001C739C"/>
    <w:rsid w:val="001E786E"/>
    <w:rsid w:val="001E7C66"/>
    <w:rsid w:val="0020101D"/>
    <w:rsid w:val="002010DD"/>
    <w:rsid w:val="002050FE"/>
    <w:rsid w:val="00205814"/>
    <w:rsid w:val="002125F9"/>
    <w:rsid w:val="00212A62"/>
    <w:rsid w:val="00212D36"/>
    <w:rsid w:val="00213B3E"/>
    <w:rsid w:val="00222521"/>
    <w:rsid w:val="00230163"/>
    <w:rsid w:val="00232B4C"/>
    <w:rsid w:val="0023377D"/>
    <w:rsid w:val="00235664"/>
    <w:rsid w:val="002359DE"/>
    <w:rsid w:val="002372A2"/>
    <w:rsid w:val="00241B4E"/>
    <w:rsid w:val="00247880"/>
    <w:rsid w:val="00254E2F"/>
    <w:rsid w:val="00262ED6"/>
    <w:rsid w:val="00265243"/>
    <w:rsid w:val="00265AED"/>
    <w:rsid w:val="00275B6C"/>
    <w:rsid w:val="002A3E7E"/>
    <w:rsid w:val="002B11CC"/>
    <w:rsid w:val="002B4A57"/>
    <w:rsid w:val="002B7D6B"/>
    <w:rsid w:val="002C4750"/>
    <w:rsid w:val="002C4A81"/>
    <w:rsid w:val="002D3444"/>
    <w:rsid w:val="002D61F0"/>
    <w:rsid w:val="002E2855"/>
    <w:rsid w:val="002F116F"/>
    <w:rsid w:val="002F59DD"/>
    <w:rsid w:val="002F7F32"/>
    <w:rsid w:val="00300A79"/>
    <w:rsid w:val="00301E5F"/>
    <w:rsid w:val="0032097E"/>
    <w:rsid w:val="00323052"/>
    <w:rsid w:val="00327045"/>
    <w:rsid w:val="00333AD1"/>
    <w:rsid w:val="00335842"/>
    <w:rsid w:val="00335D85"/>
    <w:rsid w:val="00340346"/>
    <w:rsid w:val="003543EA"/>
    <w:rsid w:val="00355C6E"/>
    <w:rsid w:val="00355E25"/>
    <w:rsid w:val="0035681E"/>
    <w:rsid w:val="00367712"/>
    <w:rsid w:val="003677A3"/>
    <w:rsid w:val="00370B3F"/>
    <w:rsid w:val="00374705"/>
    <w:rsid w:val="003841BC"/>
    <w:rsid w:val="003851E6"/>
    <w:rsid w:val="00396A8D"/>
    <w:rsid w:val="003A37EF"/>
    <w:rsid w:val="003A444B"/>
    <w:rsid w:val="003A5CD0"/>
    <w:rsid w:val="003B065A"/>
    <w:rsid w:val="003D1F52"/>
    <w:rsid w:val="003E24AE"/>
    <w:rsid w:val="003E665E"/>
    <w:rsid w:val="003F23A0"/>
    <w:rsid w:val="003F524B"/>
    <w:rsid w:val="0040354B"/>
    <w:rsid w:val="00403A9B"/>
    <w:rsid w:val="004166A9"/>
    <w:rsid w:val="00426E0A"/>
    <w:rsid w:val="00434920"/>
    <w:rsid w:val="0044180E"/>
    <w:rsid w:val="00447AED"/>
    <w:rsid w:val="00461982"/>
    <w:rsid w:val="00464564"/>
    <w:rsid w:val="00467978"/>
    <w:rsid w:val="004723BE"/>
    <w:rsid w:val="004765F9"/>
    <w:rsid w:val="00477CD1"/>
    <w:rsid w:val="00477D62"/>
    <w:rsid w:val="004804AC"/>
    <w:rsid w:val="00493D46"/>
    <w:rsid w:val="004A043B"/>
    <w:rsid w:val="004A05C1"/>
    <w:rsid w:val="004A1944"/>
    <w:rsid w:val="004A55C7"/>
    <w:rsid w:val="004B0B01"/>
    <w:rsid w:val="004B5AB3"/>
    <w:rsid w:val="004B5EFF"/>
    <w:rsid w:val="004C17A7"/>
    <w:rsid w:val="004C55EC"/>
    <w:rsid w:val="004C587B"/>
    <w:rsid w:val="004C6142"/>
    <w:rsid w:val="004D12AF"/>
    <w:rsid w:val="004D378F"/>
    <w:rsid w:val="004D5797"/>
    <w:rsid w:val="004D5961"/>
    <w:rsid w:val="004D5E39"/>
    <w:rsid w:val="004D6268"/>
    <w:rsid w:val="004D6BA8"/>
    <w:rsid w:val="004E1E66"/>
    <w:rsid w:val="004E4791"/>
    <w:rsid w:val="004E4B14"/>
    <w:rsid w:val="004E4D93"/>
    <w:rsid w:val="004E5391"/>
    <w:rsid w:val="004E569B"/>
    <w:rsid w:val="004E6702"/>
    <w:rsid w:val="004F3006"/>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810E3"/>
    <w:rsid w:val="005811F8"/>
    <w:rsid w:val="00582C58"/>
    <w:rsid w:val="00587136"/>
    <w:rsid w:val="005937EC"/>
    <w:rsid w:val="005A6128"/>
    <w:rsid w:val="005B0B8B"/>
    <w:rsid w:val="005B102C"/>
    <w:rsid w:val="005B3656"/>
    <w:rsid w:val="005C0491"/>
    <w:rsid w:val="005C3B38"/>
    <w:rsid w:val="005C52CA"/>
    <w:rsid w:val="005D0ED0"/>
    <w:rsid w:val="005D1F23"/>
    <w:rsid w:val="005E7933"/>
    <w:rsid w:val="005F304B"/>
    <w:rsid w:val="005F78B5"/>
    <w:rsid w:val="00602515"/>
    <w:rsid w:val="0063287E"/>
    <w:rsid w:val="006336E0"/>
    <w:rsid w:val="0064764C"/>
    <w:rsid w:val="006502CD"/>
    <w:rsid w:val="00656CEA"/>
    <w:rsid w:val="00675098"/>
    <w:rsid w:val="00675481"/>
    <w:rsid w:val="0067562E"/>
    <w:rsid w:val="006860B1"/>
    <w:rsid w:val="006922C3"/>
    <w:rsid w:val="00694C1B"/>
    <w:rsid w:val="006A043A"/>
    <w:rsid w:val="006A1386"/>
    <w:rsid w:val="006B384C"/>
    <w:rsid w:val="006B3B29"/>
    <w:rsid w:val="006C0EBB"/>
    <w:rsid w:val="006C1DF8"/>
    <w:rsid w:val="006C6D4E"/>
    <w:rsid w:val="006C6DDD"/>
    <w:rsid w:val="006C7E23"/>
    <w:rsid w:val="006D3530"/>
    <w:rsid w:val="006E1BBA"/>
    <w:rsid w:val="006E42FC"/>
    <w:rsid w:val="00705025"/>
    <w:rsid w:val="00705298"/>
    <w:rsid w:val="0070676E"/>
    <w:rsid w:val="007141FB"/>
    <w:rsid w:val="00716B0E"/>
    <w:rsid w:val="00721D1C"/>
    <w:rsid w:val="0072217D"/>
    <w:rsid w:val="0072722D"/>
    <w:rsid w:val="00727883"/>
    <w:rsid w:val="0073182C"/>
    <w:rsid w:val="00731BF1"/>
    <w:rsid w:val="00750634"/>
    <w:rsid w:val="007546D2"/>
    <w:rsid w:val="0075495C"/>
    <w:rsid w:val="0075740B"/>
    <w:rsid w:val="00760766"/>
    <w:rsid w:val="00762B54"/>
    <w:rsid w:val="007664C4"/>
    <w:rsid w:val="007709EA"/>
    <w:rsid w:val="0077587F"/>
    <w:rsid w:val="00793DA5"/>
    <w:rsid w:val="00793DF2"/>
    <w:rsid w:val="0079592F"/>
    <w:rsid w:val="007A0FD0"/>
    <w:rsid w:val="007A1B69"/>
    <w:rsid w:val="007A21CD"/>
    <w:rsid w:val="007A5C88"/>
    <w:rsid w:val="007A7E6E"/>
    <w:rsid w:val="007B29E7"/>
    <w:rsid w:val="007B5D49"/>
    <w:rsid w:val="007C08A7"/>
    <w:rsid w:val="007C4180"/>
    <w:rsid w:val="007C500E"/>
    <w:rsid w:val="007C66A7"/>
    <w:rsid w:val="007D0014"/>
    <w:rsid w:val="007D42DA"/>
    <w:rsid w:val="007E3ECA"/>
    <w:rsid w:val="007E5058"/>
    <w:rsid w:val="007E5A96"/>
    <w:rsid w:val="007E7E3F"/>
    <w:rsid w:val="008042B3"/>
    <w:rsid w:val="00817A13"/>
    <w:rsid w:val="00825677"/>
    <w:rsid w:val="0083147A"/>
    <w:rsid w:val="008357C1"/>
    <w:rsid w:val="00836766"/>
    <w:rsid w:val="00837782"/>
    <w:rsid w:val="00845147"/>
    <w:rsid w:val="00845A6C"/>
    <w:rsid w:val="008505C5"/>
    <w:rsid w:val="00852177"/>
    <w:rsid w:val="0085614D"/>
    <w:rsid w:val="00860D10"/>
    <w:rsid w:val="00873392"/>
    <w:rsid w:val="00876529"/>
    <w:rsid w:val="00882EB5"/>
    <w:rsid w:val="00886481"/>
    <w:rsid w:val="00893ECB"/>
    <w:rsid w:val="00893F4E"/>
    <w:rsid w:val="00895FEF"/>
    <w:rsid w:val="008A0FF0"/>
    <w:rsid w:val="008A4E2F"/>
    <w:rsid w:val="008A7BA3"/>
    <w:rsid w:val="008B0B7F"/>
    <w:rsid w:val="008B29E2"/>
    <w:rsid w:val="008C0AC8"/>
    <w:rsid w:val="008C3886"/>
    <w:rsid w:val="008C4546"/>
    <w:rsid w:val="008D1290"/>
    <w:rsid w:val="008D1850"/>
    <w:rsid w:val="008D272C"/>
    <w:rsid w:val="008D5A6F"/>
    <w:rsid w:val="008D6359"/>
    <w:rsid w:val="008E2DE3"/>
    <w:rsid w:val="00907CC5"/>
    <w:rsid w:val="009148F2"/>
    <w:rsid w:val="0091635D"/>
    <w:rsid w:val="00920C5D"/>
    <w:rsid w:val="00923EC7"/>
    <w:rsid w:val="0093707F"/>
    <w:rsid w:val="00941458"/>
    <w:rsid w:val="0095337B"/>
    <w:rsid w:val="00960E16"/>
    <w:rsid w:val="0097385B"/>
    <w:rsid w:val="009739A3"/>
    <w:rsid w:val="0098230D"/>
    <w:rsid w:val="00992252"/>
    <w:rsid w:val="00996D7B"/>
    <w:rsid w:val="009A0F8E"/>
    <w:rsid w:val="009A24EB"/>
    <w:rsid w:val="009A4065"/>
    <w:rsid w:val="009A4773"/>
    <w:rsid w:val="009A541C"/>
    <w:rsid w:val="009A7140"/>
    <w:rsid w:val="009B3125"/>
    <w:rsid w:val="009B4081"/>
    <w:rsid w:val="009C2824"/>
    <w:rsid w:val="009C65CC"/>
    <w:rsid w:val="009C66FD"/>
    <w:rsid w:val="009D1E06"/>
    <w:rsid w:val="009D7658"/>
    <w:rsid w:val="009E1B0F"/>
    <w:rsid w:val="009E2AB8"/>
    <w:rsid w:val="009E2CE4"/>
    <w:rsid w:val="009F39F5"/>
    <w:rsid w:val="00A05F9F"/>
    <w:rsid w:val="00A10B0F"/>
    <w:rsid w:val="00A1392A"/>
    <w:rsid w:val="00A14AFB"/>
    <w:rsid w:val="00A23220"/>
    <w:rsid w:val="00A37D1C"/>
    <w:rsid w:val="00A41BC7"/>
    <w:rsid w:val="00A43CE3"/>
    <w:rsid w:val="00A546E4"/>
    <w:rsid w:val="00A6170F"/>
    <w:rsid w:val="00A85603"/>
    <w:rsid w:val="00A90C90"/>
    <w:rsid w:val="00AA6DBF"/>
    <w:rsid w:val="00AA7C9A"/>
    <w:rsid w:val="00AB1507"/>
    <w:rsid w:val="00AB30BD"/>
    <w:rsid w:val="00AB437C"/>
    <w:rsid w:val="00AC6EB5"/>
    <w:rsid w:val="00AD3411"/>
    <w:rsid w:val="00AE4FFE"/>
    <w:rsid w:val="00B050CB"/>
    <w:rsid w:val="00B06DFC"/>
    <w:rsid w:val="00B13944"/>
    <w:rsid w:val="00B14122"/>
    <w:rsid w:val="00B1708E"/>
    <w:rsid w:val="00B2278A"/>
    <w:rsid w:val="00B23A47"/>
    <w:rsid w:val="00B24D7E"/>
    <w:rsid w:val="00B267BF"/>
    <w:rsid w:val="00B3581A"/>
    <w:rsid w:val="00B43EFE"/>
    <w:rsid w:val="00B46612"/>
    <w:rsid w:val="00B47345"/>
    <w:rsid w:val="00B52B02"/>
    <w:rsid w:val="00B625AB"/>
    <w:rsid w:val="00B62680"/>
    <w:rsid w:val="00B7291F"/>
    <w:rsid w:val="00B76118"/>
    <w:rsid w:val="00B9254C"/>
    <w:rsid w:val="00B92BB9"/>
    <w:rsid w:val="00B97DBF"/>
    <w:rsid w:val="00BA19B8"/>
    <w:rsid w:val="00BB478F"/>
    <w:rsid w:val="00BC2655"/>
    <w:rsid w:val="00BC55C1"/>
    <w:rsid w:val="00BD2559"/>
    <w:rsid w:val="00BD4C6A"/>
    <w:rsid w:val="00BD5BDA"/>
    <w:rsid w:val="00BE2267"/>
    <w:rsid w:val="00BE4DA7"/>
    <w:rsid w:val="00BE71EF"/>
    <w:rsid w:val="00BE75F1"/>
    <w:rsid w:val="00BF193F"/>
    <w:rsid w:val="00C01673"/>
    <w:rsid w:val="00C06ECD"/>
    <w:rsid w:val="00C07AD5"/>
    <w:rsid w:val="00C10269"/>
    <w:rsid w:val="00C1293C"/>
    <w:rsid w:val="00C13FBE"/>
    <w:rsid w:val="00C158F5"/>
    <w:rsid w:val="00C16F23"/>
    <w:rsid w:val="00C277AF"/>
    <w:rsid w:val="00C30098"/>
    <w:rsid w:val="00C363AD"/>
    <w:rsid w:val="00C3784B"/>
    <w:rsid w:val="00C4101F"/>
    <w:rsid w:val="00C50413"/>
    <w:rsid w:val="00C522AB"/>
    <w:rsid w:val="00C60E38"/>
    <w:rsid w:val="00C61F70"/>
    <w:rsid w:val="00C65E7B"/>
    <w:rsid w:val="00C67B2B"/>
    <w:rsid w:val="00C74B5A"/>
    <w:rsid w:val="00C77FB0"/>
    <w:rsid w:val="00C81360"/>
    <w:rsid w:val="00C86C23"/>
    <w:rsid w:val="00C904CC"/>
    <w:rsid w:val="00C90CAF"/>
    <w:rsid w:val="00C95192"/>
    <w:rsid w:val="00C95778"/>
    <w:rsid w:val="00CA3625"/>
    <w:rsid w:val="00CA390C"/>
    <w:rsid w:val="00CA60B2"/>
    <w:rsid w:val="00CA76D6"/>
    <w:rsid w:val="00CA7DD2"/>
    <w:rsid w:val="00CC13AD"/>
    <w:rsid w:val="00CC2373"/>
    <w:rsid w:val="00CD1130"/>
    <w:rsid w:val="00CE3E95"/>
    <w:rsid w:val="00CE55DE"/>
    <w:rsid w:val="00CF561D"/>
    <w:rsid w:val="00CF7853"/>
    <w:rsid w:val="00D20079"/>
    <w:rsid w:val="00D20C64"/>
    <w:rsid w:val="00D217D0"/>
    <w:rsid w:val="00D23F17"/>
    <w:rsid w:val="00D27914"/>
    <w:rsid w:val="00D31BEC"/>
    <w:rsid w:val="00D32F04"/>
    <w:rsid w:val="00D34AE9"/>
    <w:rsid w:val="00D34F0E"/>
    <w:rsid w:val="00D40D2C"/>
    <w:rsid w:val="00D40E3B"/>
    <w:rsid w:val="00D5011A"/>
    <w:rsid w:val="00D57F2F"/>
    <w:rsid w:val="00D626A3"/>
    <w:rsid w:val="00D63500"/>
    <w:rsid w:val="00D7533B"/>
    <w:rsid w:val="00D75D9B"/>
    <w:rsid w:val="00D83FF1"/>
    <w:rsid w:val="00D877A7"/>
    <w:rsid w:val="00D87836"/>
    <w:rsid w:val="00DA0E76"/>
    <w:rsid w:val="00DA489F"/>
    <w:rsid w:val="00DA7CC4"/>
    <w:rsid w:val="00DB48F2"/>
    <w:rsid w:val="00DB4C2E"/>
    <w:rsid w:val="00DB605A"/>
    <w:rsid w:val="00DC37ED"/>
    <w:rsid w:val="00DC69F7"/>
    <w:rsid w:val="00DD11C4"/>
    <w:rsid w:val="00DD182D"/>
    <w:rsid w:val="00DD4419"/>
    <w:rsid w:val="00DD4F4E"/>
    <w:rsid w:val="00DE6363"/>
    <w:rsid w:val="00DF1E41"/>
    <w:rsid w:val="00DF2D4E"/>
    <w:rsid w:val="00DF523B"/>
    <w:rsid w:val="00E01992"/>
    <w:rsid w:val="00E10380"/>
    <w:rsid w:val="00E10695"/>
    <w:rsid w:val="00E12B20"/>
    <w:rsid w:val="00E23173"/>
    <w:rsid w:val="00E238A8"/>
    <w:rsid w:val="00E25351"/>
    <w:rsid w:val="00E25575"/>
    <w:rsid w:val="00E327AC"/>
    <w:rsid w:val="00E43C88"/>
    <w:rsid w:val="00E6058A"/>
    <w:rsid w:val="00E608CC"/>
    <w:rsid w:val="00E60AC1"/>
    <w:rsid w:val="00E62D62"/>
    <w:rsid w:val="00E7202F"/>
    <w:rsid w:val="00E77C6A"/>
    <w:rsid w:val="00E8117D"/>
    <w:rsid w:val="00E83473"/>
    <w:rsid w:val="00E95D39"/>
    <w:rsid w:val="00EB0480"/>
    <w:rsid w:val="00EB0B8F"/>
    <w:rsid w:val="00EB38E2"/>
    <w:rsid w:val="00EB5FBE"/>
    <w:rsid w:val="00EB7CAB"/>
    <w:rsid w:val="00EC10E6"/>
    <w:rsid w:val="00EC6072"/>
    <w:rsid w:val="00EC6979"/>
    <w:rsid w:val="00ED1CD7"/>
    <w:rsid w:val="00EE7D31"/>
    <w:rsid w:val="00EF14C8"/>
    <w:rsid w:val="00EF3BC6"/>
    <w:rsid w:val="00F06F38"/>
    <w:rsid w:val="00F12ADF"/>
    <w:rsid w:val="00F1469E"/>
    <w:rsid w:val="00F21A55"/>
    <w:rsid w:val="00F22E3D"/>
    <w:rsid w:val="00F23242"/>
    <w:rsid w:val="00F300B8"/>
    <w:rsid w:val="00F314E5"/>
    <w:rsid w:val="00F33438"/>
    <w:rsid w:val="00F427DB"/>
    <w:rsid w:val="00F47013"/>
    <w:rsid w:val="00F52140"/>
    <w:rsid w:val="00F6025D"/>
    <w:rsid w:val="00F75F7A"/>
    <w:rsid w:val="00F814E8"/>
    <w:rsid w:val="00F86575"/>
    <w:rsid w:val="00F86E4F"/>
    <w:rsid w:val="00F87AAD"/>
    <w:rsid w:val="00FB118F"/>
    <w:rsid w:val="00FB4647"/>
    <w:rsid w:val="00FB52FF"/>
    <w:rsid w:val="00FB7F17"/>
    <w:rsid w:val="00FC3A30"/>
    <w:rsid w:val="00FC4660"/>
    <w:rsid w:val="00FC577F"/>
    <w:rsid w:val="00FD2D81"/>
    <w:rsid w:val="00FD5529"/>
    <w:rsid w:val="00FD72CE"/>
    <w:rsid w:val="00FE1EAA"/>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DC15B66-3949-4740-B08F-F173A2BF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5"/>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STSPChar">
    <w:name w:val="STSP Char"/>
    <w:basedOn w:val="DefaultParagraphFont"/>
    <w:link w:val="STSP"/>
    <w:rsid w:val="008A7BA3"/>
    <w:rPr>
      <w:rFonts w:ascii="Times New Roman" w:hAnsi="Times New Roman" w:cs="Times New Roman"/>
      <w:sz w:val="24"/>
      <w:szCs w:val="24"/>
    </w:rPr>
  </w:style>
  <w:style w:type="character" w:customStyle="1" w:styleId="1Heading1Char">
    <w:name w:val="1 Heading 1 Char"/>
    <w:basedOn w:val="DefaultParagraphFont"/>
    <w:link w:val="1Heading1"/>
    <w:rsid w:val="008A7BA3"/>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60396763">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sfs1\Company\Forms\STSP\Templates\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494FE0D456440B89F0264F868BAA35"/>
        <w:category>
          <w:name w:val="General"/>
          <w:gallery w:val="placeholder"/>
        </w:category>
        <w:types>
          <w:type w:val="bbPlcHdr"/>
        </w:types>
        <w:behaviors>
          <w:behavior w:val="content"/>
        </w:behaviors>
        <w:guid w:val="{5442C330-DCD4-44B3-93ED-323EE79126A6}"/>
      </w:docPartPr>
      <w:docPartBody>
        <w:p w:rsidR="00A57277" w:rsidRDefault="00656147" w:rsidP="00656147">
          <w:pPr>
            <w:pStyle w:val="B0494FE0D456440B89F0264F868BAA3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47"/>
    <w:rsid w:val="00656147"/>
    <w:rsid w:val="00A57277"/>
    <w:rsid w:val="00E9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147"/>
    <w:rPr>
      <w:color w:val="808080"/>
    </w:rPr>
  </w:style>
  <w:style w:type="paragraph" w:customStyle="1" w:styleId="B0494FE0D456440B89F0264F868BAA35">
    <w:name w:val="B0494FE0D456440B89F0264F868BAA35"/>
    <w:rsid w:val="00656147"/>
  </w:style>
  <w:style w:type="paragraph" w:customStyle="1" w:styleId="F30C25F9171949E08F109FB8433353E2">
    <w:name w:val="F30C25F9171949E08F109FB8433353E2"/>
    <w:rsid w:val="00656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A257FE1A-C0E7-4611-8DF8-82AE8272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stsp-template.dotm</Template>
  <TotalTime>625</TotalTime>
  <Pages>16</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Diane Kubatzki</dc:creator>
  <cp:keywords>STSP, template, special provisions, building blocks</cp:keywords>
  <cp:lastModifiedBy>Andrew Klemp</cp:lastModifiedBy>
  <cp:revision>36</cp:revision>
  <cp:lastPrinted>2017-05-08T16:21:00Z</cp:lastPrinted>
  <dcterms:created xsi:type="dcterms:W3CDTF">2017-05-04T21:19:00Z</dcterms:created>
  <dcterms:modified xsi:type="dcterms:W3CDTF">2017-07-20T16:08:00Z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