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60832" w14:textId="76A13BAA" w:rsidR="00060528" w:rsidRDefault="00060528" w:rsidP="00060528">
      <w:pPr>
        <w:pStyle w:val="wiComment"/>
      </w:pPr>
      <w:bookmarkStart w:id="0" w:name="_Toc185392797"/>
      <w:r>
        <w:t>Use this item</w:t>
      </w:r>
      <w:r w:rsidRPr="00060528">
        <w:t xml:space="preserve"> on bridge crossings only. See </w:t>
      </w:r>
      <w:r w:rsidR="006D45F5">
        <w:t>Region Resource Library for guidance (</w:t>
      </w:r>
      <w:r w:rsidR="006D45F5" w:rsidRPr="006D45F5">
        <w:t>N:\region\Resources\Resource Library\Design\Multi-Modal\Snowmobile</w:t>
      </w:r>
      <w:r w:rsidR="006D45F5">
        <w:t xml:space="preserve">) and discuss with </w:t>
      </w:r>
      <w:r w:rsidRPr="00060528">
        <w:t>Material</w:t>
      </w:r>
      <w:bookmarkStart w:id="1" w:name="_GoBack"/>
      <w:bookmarkEnd w:id="1"/>
      <w:r w:rsidRPr="00060528">
        <w:t>s Engineer for applicable use.</w:t>
      </w:r>
    </w:p>
    <w:p w14:paraId="31560833" w14:textId="77777777" w:rsidR="009B41C9" w:rsidRPr="00755859" w:rsidRDefault="009B41C9" w:rsidP="009B41C9">
      <w:pPr>
        <w:pStyle w:val="1Heading1"/>
      </w:pPr>
      <w:r w:rsidRPr="007F3066">
        <w:t>Protective Polymer Coating at Snowmobile Trail Crossings, Item SPV.0180.</w:t>
      </w:r>
      <w:bookmarkEnd w:id="0"/>
      <w:r w:rsidRPr="007F3066">
        <w:fldChar w:fldCharType="begin">
          <w:ffData>
            <w:name w:val="Text243"/>
            <w:enabled/>
            <w:calcOnExit w:val="0"/>
            <w:textInput>
              <w:default w:val="##"/>
            </w:textInput>
          </w:ffData>
        </w:fldChar>
      </w:r>
      <w:bookmarkStart w:id="2" w:name="Text243"/>
      <w:r w:rsidRPr="007F3066">
        <w:instrText xml:space="preserve"> FORMTEXT </w:instrText>
      </w:r>
      <w:r w:rsidRPr="007F3066">
        <w:fldChar w:fldCharType="separate"/>
      </w:r>
      <w:r w:rsidRPr="007F3066">
        <w:t>##</w:t>
      </w:r>
      <w:r w:rsidRPr="007F3066">
        <w:fldChar w:fldCharType="end"/>
      </w:r>
      <w:bookmarkEnd w:id="2"/>
    </w:p>
    <w:p w14:paraId="31560834" w14:textId="77777777" w:rsidR="009B41C9" w:rsidRPr="00E72D69" w:rsidRDefault="009B41C9" w:rsidP="009B41C9">
      <w:pPr>
        <w:pStyle w:val="spParagraph"/>
        <w:rPr>
          <w:rStyle w:val="spHeading"/>
        </w:rPr>
      </w:pPr>
      <w:proofErr w:type="gramStart"/>
      <w:r w:rsidRPr="00E72D69">
        <w:rPr>
          <w:rStyle w:val="spHeading"/>
        </w:rPr>
        <w:t>A  Description</w:t>
      </w:r>
      <w:proofErr w:type="gramEnd"/>
    </w:p>
    <w:p w14:paraId="31560835" w14:textId="77777777" w:rsidR="009B41C9" w:rsidRDefault="009B41C9" w:rsidP="009B41C9">
      <w:pPr>
        <w:pStyle w:val="spParagraph"/>
      </w:pPr>
      <w:r w:rsidRPr="00602E01">
        <w:t>This special provision describes providing</w:t>
      </w:r>
      <w:r>
        <w:t xml:space="preserve"> a </w:t>
      </w:r>
      <w:proofErr w:type="gramStart"/>
      <w:r>
        <w:t>two layer</w:t>
      </w:r>
      <w:proofErr w:type="gramEnd"/>
      <w:r>
        <w:t xml:space="preserve"> system of polymer liquid binder and pre-bagged aggregate to provide a protective surface for the asphaltic concrete pavement and adjacent concrete curbs, if they exist, and sawing, routing, and seal jointing at snowmobile trail crossings as the plans show.</w:t>
      </w:r>
    </w:p>
    <w:p w14:paraId="31560836" w14:textId="77777777" w:rsidR="009B41C9" w:rsidRPr="00E72D69" w:rsidRDefault="009B41C9" w:rsidP="009B41C9">
      <w:pPr>
        <w:pStyle w:val="spParagraph"/>
        <w:rPr>
          <w:rStyle w:val="spHeading"/>
        </w:rPr>
      </w:pPr>
      <w:proofErr w:type="gramStart"/>
      <w:r w:rsidRPr="00E72D69">
        <w:rPr>
          <w:rStyle w:val="spHeading"/>
        </w:rPr>
        <w:t>B  Materials</w:t>
      </w:r>
      <w:proofErr w:type="gramEnd"/>
    </w:p>
    <w:p w14:paraId="31560837" w14:textId="77777777" w:rsidR="009B41C9" w:rsidRDefault="009B41C9" w:rsidP="009B41C9">
      <w:pPr>
        <w:pStyle w:val="spParagraph"/>
      </w:pPr>
      <w:proofErr w:type="gramStart"/>
      <w:r>
        <w:rPr>
          <w:b/>
          <w:bCs/>
          <w:spacing w:val="-2"/>
        </w:rPr>
        <w:t>B.1  Polymer</w:t>
      </w:r>
      <w:proofErr w:type="gramEnd"/>
      <w:r>
        <w:rPr>
          <w:b/>
          <w:bCs/>
          <w:spacing w:val="-2"/>
        </w:rPr>
        <w:t xml:space="preserve"> Liquid Binder</w:t>
      </w:r>
    </w:p>
    <w:p w14:paraId="31560838" w14:textId="77777777" w:rsidR="009B41C9" w:rsidRDefault="009B41C9" w:rsidP="009B41C9">
      <w:pPr>
        <w:pStyle w:val="spParagraph"/>
      </w:pPr>
      <w:r>
        <w:t>Furnish one of the polymer liquid binder products shown on the pre-qualified list below.</w:t>
      </w:r>
    </w:p>
    <w:tbl>
      <w:tblPr>
        <w:tblW w:w="0" w:type="auto"/>
        <w:tblInd w:w="720" w:type="dxa"/>
        <w:tblLook w:val="0000" w:firstRow="0" w:lastRow="0" w:firstColumn="0" w:lastColumn="0" w:noHBand="0" w:noVBand="0"/>
      </w:tblPr>
      <w:tblGrid>
        <w:gridCol w:w="3508"/>
        <w:gridCol w:w="3112"/>
      </w:tblGrid>
      <w:tr w:rsidR="00BE4843" w:rsidRPr="00AD0606" w14:paraId="3156083C" w14:textId="77777777" w:rsidTr="00AD4351">
        <w:tc>
          <w:tcPr>
            <w:tcW w:w="3508" w:type="dxa"/>
          </w:tcPr>
          <w:p w14:paraId="31560839" w14:textId="77777777" w:rsidR="00BE4843" w:rsidRPr="00AD0606" w:rsidRDefault="00BE4843" w:rsidP="00AD4351">
            <w:pPr>
              <w:pStyle w:val="spTable"/>
              <w:rPr>
                <w:rStyle w:val="spHeading"/>
              </w:rPr>
            </w:pPr>
            <w:r w:rsidRPr="00AD0606">
              <w:rPr>
                <w:rStyle w:val="spHeading"/>
              </w:rPr>
              <w:t>Product Trade Name</w:t>
            </w:r>
          </w:p>
        </w:tc>
        <w:tc>
          <w:tcPr>
            <w:tcW w:w="3112" w:type="dxa"/>
          </w:tcPr>
          <w:p w14:paraId="3156083A" w14:textId="77777777" w:rsidR="00BE4843" w:rsidRPr="00AD0606" w:rsidRDefault="00BE4843" w:rsidP="00AD4351">
            <w:pPr>
              <w:pStyle w:val="spTable"/>
              <w:rPr>
                <w:rStyle w:val="spHeading"/>
              </w:rPr>
            </w:pPr>
            <w:r w:rsidRPr="00AD0606">
              <w:rPr>
                <w:rStyle w:val="spHeading"/>
              </w:rPr>
              <w:t>Supplier</w:t>
            </w:r>
          </w:p>
        </w:tc>
      </w:tr>
      <w:tr w:rsidR="00BE4843" w14:paraId="31560840" w14:textId="77777777" w:rsidTr="00AD4351">
        <w:tc>
          <w:tcPr>
            <w:tcW w:w="3508" w:type="dxa"/>
          </w:tcPr>
          <w:p w14:paraId="3156083D" w14:textId="77777777" w:rsidR="00BE4843" w:rsidRDefault="00BE4843" w:rsidP="00AD4351">
            <w:pPr>
              <w:pStyle w:val="spTable"/>
              <w:jc w:val="left"/>
            </w:pPr>
            <w:r>
              <w:t xml:space="preserve">Mark-163 </w:t>
            </w:r>
            <w:proofErr w:type="spellStart"/>
            <w:r>
              <w:t>Flexogrid</w:t>
            </w:r>
            <w:proofErr w:type="spellEnd"/>
          </w:p>
        </w:tc>
        <w:tc>
          <w:tcPr>
            <w:tcW w:w="3112" w:type="dxa"/>
          </w:tcPr>
          <w:p w14:paraId="3156083E" w14:textId="77777777" w:rsidR="00BE4843" w:rsidRDefault="00BE4843" w:rsidP="00AD4351">
            <w:pPr>
              <w:pStyle w:val="spTable"/>
              <w:jc w:val="left"/>
            </w:pPr>
            <w:proofErr w:type="spellStart"/>
            <w:r>
              <w:t>PolyCarb</w:t>
            </w:r>
            <w:proofErr w:type="spellEnd"/>
            <w:r>
              <w:t>, Inc.</w:t>
            </w:r>
          </w:p>
        </w:tc>
      </w:tr>
      <w:tr w:rsidR="00BE4843" w14:paraId="31560844" w14:textId="77777777" w:rsidTr="00AD4351">
        <w:tc>
          <w:tcPr>
            <w:tcW w:w="3508" w:type="dxa"/>
          </w:tcPr>
          <w:p w14:paraId="31560841" w14:textId="77777777" w:rsidR="00BE4843" w:rsidRDefault="00BE4843" w:rsidP="00AD4351">
            <w:pPr>
              <w:pStyle w:val="spTable"/>
              <w:jc w:val="left"/>
            </w:pPr>
            <w:r>
              <w:t>Mark-174 Polymer Road System</w:t>
            </w:r>
          </w:p>
        </w:tc>
        <w:tc>
          <w:tcPr>
            <w:tcW w:w="3112" w:type="dxa"/>
          </w:tcPr>
          <w:p w14:paraId="31560842" w14:textId="77777777" w:rsidR="00BE4843" w:rsidRDefault="00BE4843" w:rsidP="00AD4351">
            <w:pPr>
              <w:pStyle w:val="spTable"/>
              <w:jc w:val="left"/>
            </w:pPr>
            <w:proofErr w:type="spellStart"/>
            <w:r>
              <w:t>PolyCarb</w:t>
            </w:r>
            <w:proofErr w:type="spellEnd"/>
            <w:r>
              <w:t>, Inc.</w:t>
            </w:r>
          </w:p>
        </w:tc>
      </w:tr>
      <w:tr w:rsidR="00BE4843" w14:paraId="31560848" w14:textId="77777777" w:rsidTr="00AD4351">
        <w:tc>
          <w:tcPr>
            <w:tcW w:w="3508" w:type="dxa"/>
          </w:tcPr>
          <w:p w14:paraId="31560845" w14:textId="77777777" w:rsidR="00BE4843" w:rsidRDefault="00BE4843" w:rsidP="00AD4351">
            <w:pPr>
              <w:pStyle w:val="spTable"/>
              <w:jc w:val="left"/>
            </w:pPr>
            <w:proofErr w:type="spellStart"/>
            <w:r>
              <w:t>Sikadur</w:t>
            </w:r>
            <w:proofErr w:type="spellEnd"/>
            <w:r>
              <w:t xml:space="preserve"> 22 Lo-mod</w:t>
            </w:r>
          </w:p>
        </w:tc>
        <w:tc>
          <w:tcPr>
            <w:tcW w:w="3112" w:type="dxa"/>
          </w:tcPr>
          <w:p w14:paraId="31560846" w14:textId="13A2D6D3" w:rsidR="00BE4843" w:rsidRDefault="00BE4843" w:rsidP="00AD4351">
            <w:pPr>
              <w:pStyle w:val="spTable"/>
              <w:jc w:val="left"/>
            </w:pPr>
            <w:r>
              <w:t>Sika Corporation</w:t>
            </w:r>
          </w:p>
        </w:tc>
      </w:tr>
      <w:tr w:rsidR="00BE4843" w14:paraId="3156084C" w14:textId="77777777" w:rsidTr="00AD4351">
        <w:tc>
          <w:tcPr>
            <w:tcW w:w="3508" w:type="dxa"/>
          </w:tcPr>
          <w:p w14:paraId="31560849" w14:textId="350D1DE9" w:rsidR="00BE4843" w:rsidRDefault="00BE4843" w:rsidP="00AD4351">
            <w:pPr>
              <w:pStyle w:val="spTable"/>
              <w:jc w:val="left"/>
            </w:pPr>
            <w:proofErr w:type="spellStart"/>
            <w:r>
              <w:t>Silspec</w:t>
            </w:r>
            <w:proofErr w:type="spellEnd"/>
            <w:r>
              <w:t xml:space="preserve"> 900 PNS</w:t>
            </w:r>
          </w:p>
        </w:tc>
        <w:tc>
          <w:tcPr>
            <w:tcW w:w="3112" w:type="dxa"/>
          </w:tcPr>
          <w:p w14:paraId="3156084A" w14:textId="77777777" w:rsidR="00BE4843" w:rsidRDefault="00BE4843" w:rsidP="00AD4351">
            <w:pPr>
              <w:pStyle w:val="spTable"/>
              <w:jc w:val="left"/>
            </w:pPr>
            <w:r>
              <w:t>Silicone Specialties, Inc.</w:t>
            </w:r>
          </w:p>
        </w:tc>
      </w:tr>
      <w:tr w:rsidR="00BE4843" w14:paraId="31560850" w14:textId="77777777" w:rsidTr="00AD4351">
        <w:tc>
          <w:tcPr>
            <w:tcW w:w="3508" w:type="dxa"/>
          </w:tcPr>
          <w:p w14:paraId="3156084D" w14:textId="77777777" w:rsidR="00BE4843" w:rsidRDefault="00BE4843" w:rsidP="00AD4351">
            <w:pPr>
              <w:pStyle w:val="spTable"/>
              <w:jc w:val="left"/>
            </w:pPr>
            <w:r>
              <w:t>CB 700</w:t>
            </w:r>
          </w:p>
        </w:tc>
        <w:tc>
          <w:tcPr>
            <w:tcW w:w="3112" w:type="dxa"/>
          </w:tcPr>
          <w:p w14:paraId="3156084E" w14:textId="77777777" w:rsidR="00BE4843" w:rsidRDefault="00BE4843" w:rsidP="00AD4351">
            <w:pPr>
              <w:pStyle w:val="spTable"/>
              <w:jc w:val="left"/>
            </w:pPr>
            <w:proofErr w:type="spellStart"/>
            <w:r>
              <w:t>Axson</w:t>
            </w:r>
            <w:proofErr w:type="spellEnd"/>
            <w:r>
              <w:t xml:space="preserve"> North America, Inc.</w:t>
            </w:r>
          </w:p>
        </w:tc>
      </w:tr>
      <w:tr w:rsidR="00BE4843" w14:paraId="31560854" w14:textId="77777777" w:rsidTr="00AD4351">
        <w:tc>
          <w:tcPr>
            <w:tcW w:w="3508" w:type="dxa"/>
          </w:tcPr>
          <w:p w14:paraId="31560851" w14:textId="62F8E3B4" w:rsidR="00BE4843" w:rsidRDefault="00BE4843" w:rsidP="00AD4351">
            <w:pPr>
              <w:pStyle w:val="spTable"/>
              <w:jc w:val="left"/>
            </w:pPr>
            <w:r>
              <w:t>Pro-</w:t>
            </w:r>
            <w:proofErr w:type="spellStart"/>
            <w:r>
              <w:t>Poxy</w:t>
            </w:r>
            <w:proofErr w:type="spellEnd"/>
            <w:r>
              <w:t xml:space="preserve"> DOT Type III</w:t>
            </w:r>
          </w:p>
        </w:tc>
        <w:tc>
          <w:tcPr>
            <w:tcW w:w="3112" w:type="dxa"/>
          </w:tcPr>
          <w:p w14:paraId="31560852" w14:textId="312D0840" w:rsidR="00BE4843" w:rsidRDefault="00BE4843" w:rsidP="00AD4351">
            <w:pPr>
              <w:pStyle w:val="spTable"/>
              <w:jc w:val="left"/>
            </w:pPr>
            <w:proofErr w:type="spellStart"/>
            <w:r>
              <w:t>Unitex</w:t>
            </w:r>
            <w:proofErr w:type="spellEnd"/>
            <w:r>
              <w:t xml:space="preserve"> by Dayton Superior</w:t>
            </w:r>
          </w:p>
        </w:tc>
      </w:tr>
    </w:tbl>
    <w:p w14:paraId="31560855" w14:textId="77777777" w:rsidR="009B41C9" w:rsidRDefault="009B41C9" w:rsidP="009B41C9">
      <w:pPr>
        <w:pStyle w:val="spParagraph"/>
      </w:pPr>
      <w:r>
        <w:t>A minimum of 10 working days before applying the liquid binder, submit certification to the engineer verifying the product trade name and supplier. The polymer supplier shall provide technical literature to the contractor with advice on storing, mixing, and applying the binder, clean up, and disposing of excess materials.</w:t>
      </w:r>
    </w:p>
    <w:p w14:paraId="31560856" w14:textId="77777777" w:rsidR="009B41C9" w:rsidRDefault="009B41C9" w:rsidP="009B41C9">
      <w:pPr>
        <w:pStyle w:val="spParagraph"/>
        <w:rPr>
          <w:b/>
          <w:bCs/>
          <w:spacing w:val="-2"/>
        </w:rPr>
      </w:pPr>
      <w:proofErr w:type="gramStart"/>
      <w:r>
        <w:rPr>
          <w:b/>
          <w:bCs/>
          <w:spacing w:val="-2"/>
        </w:rPr>
        <w:t>B.2  Aggregate</w:t>
      </w:r>
      <w:proofErr w:type="gramEnd"/>
    </w:p>
    <w:p w14:paraId="31560857" w14:textId="77777777" w:rsidR="009B41C9" w:rsidRDefault="009B41C9" w:rsidP="009B41C9">
      <w:pPr>
        <w:pStyle w:val="spParagraph"/>
      </w:pPr>
      <w:r>
        <w:t xml:space="preserve">Provide aggregate that is angular to </w:t>
      </w:r>
      <w:proofErr w:type="spellStart"/>
      <w:r>
        <w:t>subrounded</w:t>
      </w:r>
      <w:proofErr w:type="spellEnd"/>
      <w:r>
        <w:t xml:space="preserve">, pre-dried, and pre-bagged. The aggregate shall have a minimum hardness of 7 on the </w:t>
      </w:r>
      <w:proofErr w:type="spellStart"/>
      <w:r>
        <w:t>Moh’s</w:t>
      </w:r>
      <w:proofErr w:type="spellEnd"/>
      <w:r>
        <w:t xml:space="preserve"> scale. The aggregate shall be clean, dry (less than 0.2% moisture), and free from silt, clay, asphalt or other organic materials. The aggregate shall meet the following gradation:</w:t>
      </w:r>
    </w:p>
    <w:tbl>
      <w:tblPr>
        <w:tblW w:w="0" w:type="auto"/>
        <w:jc w:val="center"/>
        <w:tblLook w:val="0000" w:firstRow="0" w:lastRow="0" w:firstColumn="0" w:lastColumn="0" w:noHBand="0" w:noVBand="0"/>
      </w:tblPr>
      <w:tblGrid>
        <w:gridCol w:w="1695"/>
        <w:gridCol w:w="3075"/>
      </w:tblGrid>
      <w:tr w:rsidR="009B41C9" w:rsidRPr="00AD0606" w14:paraId="3156085A" w14:textId="77777777" w:rsidTr="00AD4351">
        <w:trPr>
          <w:jc w:val="center"/>
        </w:trPr>
        <w:tc>
          <w:tcPr>
            <w:tcW w:w="1695" w:type="dxa"/>
          </w:tcPr>
          <w:p w14:paraId="31560858" w14:textId="77777777" w:rsidR="009B41C9" w:rsidRPr="00AD0606" w:rsidRDefault="009B41C9" w:rsidP="00AD4351">
            <w:pPr>
              <w:pStyle w:val="spTable"/>
              <w:rPr>
                <w:rStyle w:val="spHeading"/>
              </w:rPr>
            </w:pPr>
            <w:r w:rsidRPr="00AD0606">
              <w:rPr>
                <w:rStyle w:val="spHeading"/>
              </w:rPr>
              <w:t>Sieve Size</w:t>
            </w:r>
          </w:p>
        </w:tc>
        <w:tc>
          <w:tcPr>
            <w:tcW w:w="3075" w:type="dxa"/>
          </w:tcPr>
          <w:p w14:paraId="31560859" w14:textId="77777777" w:rsidR="009B41C9" w:rsidRPr="00AD0606" w:rsidRDefault="009B41C9" w:rsidP="00AD4351">
            <w:pPr>
              <w:pStyle w:val="spTable"/>
              <w:rPr>
                <w:rStyle w:val="spHeading"/>
              </w:rPr>
            </w:pPr>
            <w:r w:rsidRPr="00AD0606">
              <w:rPr>
                <w:rStyle w:val="spHeading"/>
              </w:rPr>
              <w:t xml:space="preserve">Percent Passing </w:t>
            </w:r>
            <w:proofErr w:type="gramStart"/>
            <w:r w:rsidRPr="00AD0606">
              <w:rPr>
                <w:rStyle w:val="spHeading"/>
              </w:rPr>
              <w:t>By</w:t>
            </w:r>
            <w:proofErr w:type="gramEnd"/>
            <w:r w:rsidRPr="00AD0606">
              <w:rPr>
                <w:rStyle w:val="spHeading"/>
              </w:rPr>
              <w:t xml:space="preserve"> Weight</w:t>
            </w:r>
          </w:p>
        </w:tc>
      </w:tr>
      <w:tr w:rsidR="009B41C9" w14:paraId="3156085D" w14:textId="77777777" w:rsidTr="00AD4351">
        <w:trPr>
          <w:jc w:val="center"/>
        </w:trPr>
        <w:tc>
          <w:tcPr>
            <w:tcW w:w="1695" w:type="dxa"/>
          </w:tcPr>
          <w:p w14:paraId="3156085B" w14:textId="77777777" w:rsidR="009B41C9" w:rsidRDefault="009B41C9" w:rsidP="00AD4351">
            <w:pPr>
              <w:pStyle w:val="spTable"/>
            </w:pPr>
            <w:r>
              <w:t>No. 4</w:t>
            </w:r>
          </w:p>
        </w:tc>
        <w:tc>
          <w:tcPr>
            <w:tcW w:w="3075" w:type="dxa"/>
          </w:tcPr>
          <w:p w14:paraId="3156085C" w14:textId="77777777" w:rsidR="009B41C9" w:rsidRDefault="009B41C9" w:rsidP="00AD4351">
            <w:pPr>
              <w:pStyle w:val="spTable"/>
            </w:pPr>
            <w:r>
              <w:t>100</w:t>
            </w:r>
          </w:p>
        </w:tc>
      </w:tr>
      <w:tr w:rsidR="009B41C9" w14:paraId="31560860" w14:textId="77777777" w:rsidTr="00AD4351">
        <w:trPr>
          <w:jc w:val="center"/>
        </w:trPr>
        <w:tc>
          <w:tcPr>
            <w:tcW w:w="1695" w:type="dxa"/>
          </w:tcPr>
          <w:p w14:paraId="3156085E" w14:textId="77777777" w:rsidR="009B41C9" w:rsidRDefault="009B41C9" w:rsidP="00AD4351">
            <w:pPr>
              <w:pStyle w:val="spTable"/>
            </w:pPr>
            <w:r>
              <w:t>No. 6</w:t>
            </w:r>
          </w:p>
        </w:tc>
        <w:tc>
          <w:tcPr>
            <w:tcW w:w="3075" w:type="dxa"/>
          </w:tcPr>
          <w:p w14:paraId="3156085F" w14:textId="77777777" w:rsidR="009B41C9" w:rsidRDefault="009B41C9" w:rsidP="00AD4351">
            <w:pPr>
              <w:pStyle w:val="spTable"/>
            </w:pPr>
            <w:r>
              <w:t>80 – 100</w:t>
            </w:r>
          </w:p>
        </w:tc>
      </w:tr>
      <w:tr w:rsidR="009B41C9" w14:paraId="31560863" w14:textId="77777777" w:rsidTr="00AD4351">
        <w:trPr>
          <w:jc w:val="center"/>
        </w:trPr>
        <w:tc>
          <w:tcPr>
            <w:tcW w:w="1695" w:type="dxa"/>
          </w:tcPr>
          <w:p w14:paraId="31560861" w14:textId="77777777" w:rsidR="009B41C9" w:rsidRDefault="009B41C9" w:rsidP="00AD4351">
            <w:pPr>
              <w:pStyle w:val="spTable"/>
            </w:pPr>
            <w:r>
              <w:t>No. 10</w:t>
            </w:r>
          </w:p>
        </w:tc>
        <w:tc>
          <w:tcPr>
            <w:tcW w:w="3075" w:type="dxa"/>
          </w:tcPr>
          <w:p w14:paraId="31560862" w14:textId="77777777" w:rsidR="009B41C9" w:rsidRDefault="009B41C9" w:rsidP="00AD4351">
            <w:pPr>
              <w:pStyle w:val="spTable"/>
            </w:pPr>
            <w:r>
              <w:t>10 – 35</w:t>
            </w:r>
          </w:p>
        </w:tc>
      </w:tr>
      <w:tr w:rsidR="009B41C9" w14:paraId="31560866" w14:textId="77777777" w:rsidTr="00AD4351">
        <w:trPr>
          <w:jc w:val="center"/>
        </w:trPr>
        <w:tc>
          <w:tcPr>
            <w:tcW w:w="1695" w:type="dxa"/>
          </w:tcPr>
          <w:p w14:paraId="31560864" w14:textId="77777777" w:rsidR="009B41C9" w:rsidRDefault="009B41C9" w:rsidP="00AD4351">
            <w:pPr>
              <w:pStyle w:val="spTable"/>
            </w:pPr>
            <w:r>
              <w:t>No. 20</w:t>
            </w:r>
          </w:p>
        </w:tc>
        <w:tc>
          <w:tcPr>
            <w:tcW w:w="3075" w:type="dxa"/>
          </w:tcPr>
          <w:p w14:paraId="31560865" w14:textId="77777777" w:rsidR="009B41C9" w:rsidRDefault="009B41C9" w:rsidP="00AD4351">
            <w:pPr>
              <w:pStyle w:val="spTable"/>
            </w:pPr>
            <w:r>
              <w:t>0 - 10</w:t>
            </w:r>
          </w:p>
        </w:tc>
      </w:tr>
    </w:tbl>
    <w:p w14:paraId="31560867" w14:textId="77777777" w:rsidR="009B41C9" w:rsidRDefault="009B41C9" w:rsidP="009B41C9">
      <w:pPr>
        <w:pStyle w:val="spParagraph"/>
      </w:pPr>
      <w:r>
        <w:t xml:space="preserve">A minimum of 10 working days before application, submit certification to the engineer, verifying the above requirements are met. Before the application, the engineer may request samples of the aggregate </w:t>
      </w:r>
      <w:proofErr w:type="gramStart"/>
      <w:r>
        <w:t>for the purpose of</w:t>
      </w:r>
      <w:proofErr w:type="gramEnd"/>
      <w:r>
        <w:t xml:space="preserve"> acceptance testing by the department.</w:t>
      </w:r>
    </w:p>
    <w:p w14:paraId="31560868" w14:textId="77777777" w:rsidR="009B41C9" w:rsidRDefault="009B41C9" w:rsidP="009B41C9">
      <w:pPr>
        <w:pStyle w:val="spParagraph"/>
        <w:rPr>
          <w:b/>
          <w:bCs/>
          <w:spacing w:val="-2"/>
        </w:rPr>
      </w:pPr>
      <w:proofErr w:type="gramStart"/>
      <w:r>
        <w:rPr>
          <w:b/>
          <w:bCs/>
          <w:spacing w:val="-2"/>
        </w:rPr>
        <w:t>B.3  Joint</w:t>
      </w:r>
      <w:proofErr w:type="gramEnd"/>
      <w:r>
        <w:rPr>
          <w:b/>
          <w:bCs/>
          <w:spacing w:val="-2"/>
        </w:rPr>
        <w:t xml:space="preserve"> Sealant</w:t>
      </w:r>
    </w:p>
    <w:p w14:paraId="31560869" w14:textId="23B902C5" w:rsidR="009B41C9" w:rsidRDefault="009B41C9" w:rsidP="009B41C9">
      <w:pPr>
        <w:pStyle w:val="spParagraph"/>
      </w:pPr>
      <w:r>
        <w:t>Provide joint sealant material that meets</w:t>
      </w:r>
      <w:r w:rsidR="00BE4843">
        <w:t xml:space="preserve"> the requirements of ASTM D 6690</w:t>
      </w:r>
      <w:r>
        <w:t>, Joint Sealants, Hot Poured for Concrete and Asphalt Pavements.</w:t>
      </w:r>
    </w:p>
    <w:p w14:paraId="3156086A" w14:textId="77777777" w:rsidR="009B41C9" w:rsidRDefault="009B41C9" w:rsidP="009B41C9">
      <w:pPr>
        <w:pStyle w:val="spParagraph"/>
      </w:pPr>
      <w:r>
        <w:t>A minimum of 10 calendar days before application, submit certification to the engineer verifying the above requirements are met.</w:t>
      </w:r>
    </w:p>
    <w:p w14:paraId="3156086B" w14:textId="77777777" w:rsidR="009B41C9" w:rsidRPr="00E72D69" w:rsidRDefault="009B41C9" w:rsidP="009B41C9">
      <w:pPr>
        <w:pStyle w:val="spParagraph"/>
        <w:rPr>
          <w:rStyle w:val="spHeading"/>
        </w:rPr>
      </w:pPr>
      <w:proofErr w:type="gramStart"/>
      <w:r w:rsidRPr="00E72D69">
        <w:rPr>
          <w:rStyle w:val="spHeading"/>
        </w:rPr>
        <w:t>C  Construction</w:t>
      </w:r>
      <w:proofErr w:type="gramEnd"/>
    </w:p>
    <w:p w14:paraId="3156086C" w14:textId="77777777" w:rsidR="009B41C9" w:rsidRDefault="009B41C9" w:rsidP="009B41C9">
      <w:pPr>
        <w:pStyle w:val="spParagraph"/>
      </w:pPr>
      <w:r>
        <w:t>Delineate the area to be coated using a string line across the full pavement width. To cause pitting of the surface exposing the coarse aggregate, thoroughly sandblast the finished pavement surface. Expose the edge of the pavement a minimum of one inch at the shoulder so that the coating will adhere to the edge of pavement. Then, clean the entire area with oil-free compressed air.</w:t>
      </w:r>
    </w:p>
    <w:p w14:paraId="3156086D" w14:textId="77777777" w:rsidR="009B41C9" w:rsidRDefault="009B41C9" w:rsidP="009B41C9">
      <w:pPr>
        <w:pStyle w:val="spParagraph"/>
      </w:pPr>
      <w:r>
        <w:t>Taking care to keep the edges straight as possible, place duct tape at the leading and trailing edges of the crossings. Apply the tape to a minimum width of six inches taking care to overlap adjacent rolls.</w:t>
      </w:r>
    </w:p>
    <w:p w14:paraId="3156086E" w14:textId="77777777" w:rsidR="009B41C9" w:rsidRDefault="009B41C9" w:rsidP="009B41C9">
      <w:pPr>
        <w:pStyle w:val="spParagraph"/>
      </w:pPr>
      <w:r>
        <w:lastRenderedPageBreak/>
        <w:t>Premix part A and part B components of the polymer liquid binder before combining. As recommended by the polymer supplier, use the size and type of mixer, and mix the components to the proper proportion.</w:t>
      </w:r>
    </w:p>
    <w:p w14:paraId="3156086F" w14:textId="77777777" w:rsidR="009B41C9" w:rsidRDefault="009B41C9" w:rsidP="009B41C9">
      <w:pPr>
        <w:pStyle w:val="spParagraph"/>
      </w:pPr>
      <w:r>
        <w:t>Using notched squeegees in good condition, apply the polymer at the manufacturer’s recommended temperature to the prepared pavement. Maintain a polymer depth of 1/8 inch so that the aggregate will adhere properly to the pavement.</w:t>
      </w:r>
    </w:p>
    <w:p w14:paraId="31560870" w14:textId="77777777" w:rsidR="009B41C9" w:rsidRPr="005337EF" w:rsidRDefault="009B41C9" w:rsidP="009B41C9">
      <w:pPr>
        <w:pStyle w:val="spParagraph"/>
      </w:pPr>
      <w:r w:rsidRPr="005337EF">
        <w:t xml:space="preserve">Immediately after polymer placement, place the aggregate over the polymer. The aggregate spreading technique shall consist of dropping the aggregate into the polymer without pushing the polymer around. Apply the aggregate completely over the polymer to a degree that no wet spots exist. Then remove the duct tape </w:t>
      </w:r>
      <w:r>
        <w:t>before</w:t>
      </w:r>
      <w:r w:rsidRPr="005337EF">
        <w:t xml:space="preserve"> allowing the polymer to cure.</w:t>
      </w:r>
    </w:p>
    <w:p w14:paraId="31560871" w14:textId="77777777" w:rsidR="009B41C9" w:rsidRDefault="009B41C9" w:rsidP="009B41C9">
      <w:pPr>
        <w:pStyle w:val="spParagraph"/>
      </w:pPr>
      <w:r>
        <w:t>After the first layer of coating has cured to the point the aggregate cannot be pulled out, apply the second layer. Before applying the second layer, broom the first layer and blow off all loose excess aggregate with compressed air.</w:t>
      </w:r>
    </w:p>
    <w:p w14:paraId="31560872" w14:textId="77777777" w:rsidR="009B41C9" w:rsidRDefault="009B41C9" w:rsidP="009B41C9">
      <w:pPr>
        <w:pStyle w:val="spParagraph"/>
      </w:pPr>
      <w:proofErr w:type="gramStart"/>
      <w:r>
        <w:t>Similar to</w:t>
      </w:r>
      <w:proofErr w:type="gramEnd"/>
      <w:r>
        <w:t xml:space="preserve"> the first layer of polymer coating, install duct tape at the leading and trailing edges for the second layer. Place the tape near the first layer edge starting back into the first layer four inches from the initial edge. The purpose for the setback at the leading and trailing edges is to minimize the potential for snowplow damage. Apply the second layer in the same manner as the first layer. Remove the second layer of tape before curing the second layer. Broom and blow off all loose excess aggregate off the coating in an identical manner to the first layer. Allow the final coating to cure before opening the area to traffic.</w:t>
      </w:r>
    </w:p>
    <w:p w14:paraId="31560873" w14:textId="77777777" w:rsidR="009B41C9" w:rsidRDefault="009B41C9" w:rsidP="009B41C9">
      <w:pPr>
        <w:pStyle w:val="spParagraph"/>
      </w:pPr>
      <w:r>
        <w:t>To further protect the leading and trailing edges of the protective coating, construct a sawed, routed, and sealed joint into the asphaltic pavement at the delineation edge of the coating, and transversely along the centerline of the roadway. Form the joints by sawing and routing the pavement to the dimensions shown on the plan. Blow the joints clean with compressed air, and seal them with an approved joint sealant. To prevent uncontrolled cracking along the edge of the coating, construct these joints the same day the coatings are applied.</w:t>
      </w:r>
    </w:p>
    <w:p w14:paraId="31560874" w14:textId="77777777" w:rsidR="009B41C9" w:rsidRDefault="009B41C9" w:rsidP="009B41C9">
      <w:pPr>
        <w:pStyle w:val="spParagraph"/>
      </w:pPr>
      <w:r>
        <w:t>Coat the adjacent lane in the same manner as the first. The second layer shall overlap the adjacent lane a minimum of six inches. Take care not to apply too much aggregate at the centerline thus creating a bump.</w:t>
      </w:r>
    </w:p>
    <w:p w14:paraId="31560875" w14:textId="77777777" w:rsidR="009B41C9" w:rsidRPr="00E72D69" w:rsidRDefault="009B41C9" w:rsidP="009B41C9">
      <w:pPr>
        <w:pStyle w:val="spParagraph"/>
        <w:rPr>
          <w:rStyle w:val="spHeading"/>
        </w:rPr>
      </w:pPr>
      <w:proofErr w:type="gramStart"/>
      <w:r w:rsidRPr="00E72D69">
        <w:rPr>
          <w:rStyle w:val="spHeading"/>
        </w:rPr>
        <w:t>D  Measurement</w:t>
      </w:r>
      <w:proofErr w:type="gramEnd"/>
    </w:p>
    <w:p w14:paraId="31560876" w14:textId="0F33B042" w:rsidR="009B41C9" w:rsidRDefault="009B41C9" w:rsidP="009B41C9">
      <w:pPr>
        <w:pStyle w:val="spParagraph"/>
      </w:pPr>
      <w:r>
        <w:t xml:space="preserve">The department will measure Protective Polymer Coating at Snowmobile Trail Crossings by the </w:t>
      </w:r>
      <w:r w:rsidR="00BE4843">
        <w:t xml:space="preserve">SY </w:t>
      </w:r>
      <w:r>
        <w:t>acceptably completed.</w:t>
      </w:r>
    </w:p>
    <w:p w14:paraId="31560877" w14:textId="77777777" w:rsidR="009B41C9" w:rsidRPr="00E72D69" w:rsidRDefault="009B41C9" w:rsidP="009B41C9">
      <w:pPr>
        <w:pStyle w:val="spParagraph"/>
        <w:rPr>
          <w:rStyle w:val="spHeading"/>
        </w:rPr>
      </w:pPr>
      <w:proofErr w:type="gramStart"/>
      <w:r w:rsidRPr="00E72D69">
        <w:rPr>
          <w:rStyle w:val="spHeading"/>
        </w:rPr>
        <w:t>E  Payment</w:t>
      </w:r>
      <w:proofErr w:type="gramEnd"/>
    </w:p>
    <w:p w14:paraId="31560878" w14:textId="77777777" w:rsidR="009B41C9" w:rsidRDefault="009B41C9" w:rsidP="009B41C9">
      <w:pPr>
        <w:pStyle w:val="spParagraph"/>
      </w:pPr>
      <w:r>
        <w:rPr>
          <w:spacing w:val="-2"/>
        </w:rPr>
        <w:t>The department will pay for measured quantities at the contract unit price under the following bid item:</w:t>
      </w:r>
    </w:p>
    <w:p w14:paraId="31560879" w14:textId="77777777" w:rsidR="009B41C9" w:rsidRPr="005337EF" w:rsidRDefault="009B41C9" w:rsidP="009B41C9">
      <w:pPr>
        <w:pStyle w:val="ssBidItem"/>
      </w:pPr>
      <w:r w:rsidRPr="005337EF">
        <w:t>ITEM NUMBER</w:t>
      </w:r>
      <w:r w:rsidRPr="005337EF">
        <w:tab/>
        <w:t>DESCRIPTION</w:t>
      </w:r>
      <w:r w:rsidRPr="005337EF">
        <w:tab/>
        <w:t>UNIT</w:t>
      </w:r>
    </w:p>
    <w:p w14:paraId="3156087A" w14:textId="77777777" w:rsidR="009B41C9" w:rsidRPr="005337EF" w:rsidRDefault="009B41C9" w:rsidP="009B41C9">
      <w:pPr>
        <w:pStyle w:val="ssBidItem"/>
      </w:pPr>
      <w:r w:rsidRPr="005337EF">
        <w:t>SPV.</w:t>
      </w:r>
      <w:proofErr w:type="gramStart"/>
      <w:r w:rsidRPr="005337EF">
        <w:t>0180.</w:t>
      </w:r>
      <w:r>
        <w:t>#</w:t>
      </w:r>
      <w:proofErr w:type="gramEnd"/>
      <w:r>
        <w:t>#</w:t>
      </w:r>
      <w:r w:rsidRPr="005337EF">
        <w:tab/>
        <w:t>Protective Polymer Coating at Snowmobile Trail Crossings</w:t>
      </w:r>
      <w:r w:rsidRPr="005337EF">
        <w:tab/>
        <w:t>SY</w:t>
      </w:r>
    </w:p>
    <w:p w14:paraId="3156087B" w14:textId="77777777" w:rsidR="009B41C9" w:rsidRPr="006862BE" w:rsidRDefault="009B41C9" w:rsidP="009B41C9">
      <w:pPr>
        <w:pStyle w:val="spParagraph"/>
      </w:pPr>
      <w:r>
        <w:t xml:space="preserve">Payment is full compensation for furnishing and hauling all materials, including polymer liquid binder, pre-bagged aggregate, joint sealant and duct tape; mixing and applying the polymer liquid binder; spreading, </w:t>
      </w:r>
      <w:proofErr w:type="spellStart"/>
      <w:r>
        <w:t>brooming</w:t>
      </w:r>
      <w:proofErr w:type="spellEnd"/>
      <w:r>
        <w:t xml:space="preserve"> and blowing the aggregate; sandblasting the original pavement surface; sawing, routing, and sealing the required joints; and for removing and disposing of all excess materials.</w:t>
      </w:r>
    </w:p>
    <w:p w14:paraId="3156087C" w14:textId="1BB2BF56" w:rsidR="00F858B5" w:rsidRDefault="00F858B5" w:rsidP="00F858B5">
      <w:pPr>
        <w:pStyle w:val="spVersion"/>
      </w:pPr>
      <w:r>
        <w:t>ner-900-040 (201</w:t>
      </w:r>
      <w:r w:rsidR="007B3CBF">
        <w:t>97</w:t>
      </w:r>
      <w:r w:rsidR="0038782C">
        <w:t>62</w:t>
      </w:r>
      <w:r w:rsidR="007B3CBF">
        <w:t>2</w:t>
      </w:r>
      <w:r>
        <w:t>)</w:t>
      </w:r>
    </w:p>
    <w:sectPr w:rsidR="00F858B5"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60891" w14:textId="77777777" w:rsidR="00F555A5" w:rsidRDefault="00F555A5">
      <w:r>
        <w:separator/>
      </w:r>
    </w:p>
    <w:p w14:paraId="31560892" w14:textId="77777777" w:rsidR="00F555A5" w:rsidRDefault="00F555A5"/>
    <w:p w14:paraId="31560893" w14:textId="77777777" w:rsidR="00F555A5" w:rsidRDefault="00F555A5"/>
    <w:p w14:paraId="31560894" w14:textId="77777777" w:rsidR="00F555A5" w:rsidRDefault="00F555A5"/>
    <w:p w14:paraId="31560895" w14:textId="77777777" w:rsidR="00F555A5" w:rsidRDefault="00F555A5"/>
    <w:p w14:paraId="31560896" w14:textId="77777777" w:rsidR="00F555A5" w:rsidRDefault="00F555A5"/>
    <w:p w14:paraId="31560897" w14:textId="77777777" w:rsidR="00F555A5" w:rsidRDefault="00F555A5"/>
    <w:p w14:paraId="31560898" w14:textId="77777777" w:rsidR="00F555A5" w:rsidRDefault="00F555A5"/>
    <w:p w14:paraId="31560899" w14:textId="77777777" w:rsidR="00F555A5" w:rsidRDefault="00F555A5"/>
  </w:endnote>
  <w:endnote w:type="continuationSeparator" w:id="0">
    <w:p w14:paraId="3156089A" w14:textId="77777777" w:rsidR="00F555A5" w:rsidRDefault="00F555A5">
      <w:r>
        <w:continuationSeparator/>
      </w:r>
    </w:p>
    <w:p w14:paraId="3156089B" w14:textId="77777777" w:rsidR="00F555A5" w:rsidRDefault="00F555A5"/>
    <w:p w14:paraId="3156089C" w14:textId="77777777" w:rsidR="00F555A5" w:rsidRDefault="00F555A5"/>
    <w:p w14:paraId="3156089D" w14:textId="77777777" w:rsidR="00F555A5" w:rsidRDefault="00F555A5"/>
    <w:p w14:paraId="3156089E" w14:textId="77777777" w:rsidR="00F555A5" w:rsidRDefault="00F555A5"/>
    <w:p w14:paraId="3156089F" w14:textId="77777777" w:rsidR="00F555A5" w:rsidRDefault="00F555A5"/>
    <w:p w14:paraId="315608A0" w14:textId="77777777" w:rsidR="00F555A5" w:rsidRDefault="00F555A5"/>
    <w:p w14:paraId="315608A1" w14:textId="77777777" w:rsidR="00F555A5" w:rsidRDefault="00F555A5"/>
    <w:p w14:paraId="315608A2" w14:textId="77777777" w:rsidR="00F555A5" w:rsidRDefault="00F555A5"/>
  </w:endnote>
  <w:endnote w:type="continuationNotice" w:id="1">
    <w:p w14:paraId="315608A3" w14:textId="77777777" w:rsidR="00F555A5" w:rsidRDefault="00F555A5"/>
    <w:p w14:paraId="315608A4" w14:textId="77777777" w:rsidR="00F555A5" w:rsidRDefault="00F55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08A7" w14:textId="77777777" w:rsidR="00205E2C" w:rsidRDefault="0020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08A8" w14:textId="3EF971EF"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38782C">
          <w:rPr>
            <w:noProof/>
          </w:rPr>
          <w:t>2</w:t>
        </w:r>
        <w:r>
          <w:rPr>
            <w:noProof/>
          </w:rPr>
          <w:fldChar w:fldCharType="end"/>
        </w:r>
        <w:r>
          <w:t xml:space="preserve"> of </w:t>
        </w:r>
        <w:r w:rsidR="007B3CBF">
          <w:fldChar w:fldCharType="begin"/>
        </w:r>
        <w:r w:rsidR="007B3CBF">
          <w:instrText xml:space="preserve"> NUMPAGES  </w:instrText>
        </w:r>
        <w:r w:rsidR="007B3CBF">
          <w:fldChar w:fldCharType="separate"/>
        </w:r>
        <w:r w:rsidR="0038782C">
          <w:rPr>
            <w:noProof/>
          </w:rPr>
          <w:t>2</w:t>
        </w:r>
        <w:r w:rsidR="007B3CB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08AA" w14:textId="77777777" w:rsidR="00205E2C" w:rsidRDefault="0020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087D" w14:textId="77777777" w:rsidR="00F555A5" w:rsidRDefault="00F555A5">
      <w:r>
        <w:separator/>
      </w:r>
    </w:p>
    <w:p w14:paraId="3156087E" w14:textId="77777777" w:rsidR="00F555A5" w:rsidRDefault="00F555A5"/>
    <w:p w14:paraId="3156087F" w14:textId="77777777" w:rsidR="00F555A5" w:rsidRDefault="00F555A5"/>
    <w:p w14:paraId="31560880" w14:textId="77777777" w:rsidR="00F555A5" w:rsidRDefault="00F555A5"/>
    <w:p w14:paraId="31560881" w14:textId="77777777" w:rsidR="00F555A5" w:rsidRDefault="00F555A5"/>
    <w:p w14:paraId="31560882" w14:textId="77777777" w:rsidR="00F555A5" w:rsidRDefault="00F555A5"/>
    <w:p w14:paraId="31560883" w14:textId="77777777" w:rsidR="00F555A5" w:rsidRDefault="00F555A5"/>
    <w:p w14:paraId="31560884" w14:textId="77777777" w:rsidR="00F555A5" w:rsidRDefault="00F555A5"/>
    <w:p w14:paraId="31560885" w14:textId="77777777" w:rsidR="00F555A5" w:rsidRDefault="00F555A5"/>
  </w:footnote>
  <w:footnote w:type="continuationSeparator" w:id="0">
    <w:p w14:paraId="31560886" w14:textId="77777777" w:rsidR="00F555A5" w:rsidRDefault="00F555A5">
      <w:r>
        <w:continuationSeparator/>
      </w:r>
    </w:p>
    <w:p w14:paraId="31560887" w14:textId="77777777" w:rsidR="00F555A5" w:rsidRDefault="00F555A5"/>
    <w:p w14:paraId="31560888" w14:textId="77777777" w:rsidR="00F555A5" w:rsidRDefault="00F555A5"/>
    <w:p w14:paraId="31560889" w14:textId="77777777" w:rsidR="00F555A5" w:rsidRDefault="00F555A5"/>
    <w:p w14:paraId="3156088A" w14:textId="77777777" w:rsidR="00F555A5" w:rsidRDefault="00F555A5"/>
    <w:p w14:paraId="3156088B" w14:textId="77777777" w:rsidR="00F555A5" w:rsidRDefault="00F555A5"/>
    <w:p w14:paraId="3156088C" w14:textId="77777777" w:rsidR="00F555A5" w:rsidRDefault="00F555A5"/>
    <w:p w14:paraId="3156088D" w14:textId="77777777" w:rsidR="00F555A5" w:rsidRDefault="00F555A5"/>
    <w:p w14:paraId="3156088E" w14:textId="77777777" w:rsidR="00F555A5" w:rsidRDefault="00F555A5"/>
  </w:footnote>
  <w:footnote w:type="continuationNotice" w:id="1">
    <w:p w14:paraId="3156088F" w14:textId="77777777" w:rsidR="00F555A5" w:rsidRDefault="00F555A5"/>
    <w:p w14:paraId="31560890" w14:textId="77777777" w:rsidR="00F555A5" w:rsidRDefault="00F55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08A5" w14:textId="77777777" w:rsidR="00205E2C" w:rsidRDefault="00205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08A6" w14:textId="77777777" w:rsidR="00205E2C" w:rsidRDefault="00205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08A9" w14:textId="77777777" w:rsidR="00F858B5" w:rsidRDefault="00F858B5" w:rsidP="00F858B5">
    <w:pPr>
      <w:pStyle w:val="Header"/>
    </w:pPr>
    <w:r>
      <w:t>Use this item on bridge crossings only. See Materials Engineer for applicable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C9"/>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0528"/>
    <w:rsid w:val="0006236D"/>
    <w:rsid w:val="0006267D"/>
    <w:rsid w:val="00062AB2"/>
    <w:rsid w:val="00063A78"/>
    <w:rsid w:val="00066DCE"/>
    <w:rsid w:val="00067275"/>
    <w:rsid w:val="000717FC"/>
    <w:rsid w:val="00083103"/>
    <w:rsid w:val="00085D86"/>
    <w:rsid w:val="00093EE3"/>
    <w:rsid w:val="000A2F74"/>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05E2C"/>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8782C"/>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D45F5"/>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3CBF"/>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B41C9"/>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843"/>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96E96"/>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555A5"/>
    <w:rsid w:val="00F6025D"/>
    <w:rsid w:val="00F75024"/>
    <w:rsid w:val="00F75F7A"/>
    <w:rsid w:val="00F83E00"/>
    <w:rsid w:val="00F858B5"/>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60832"/>
  <w15:docId w15:val="{457446BF-0A50-43C2-AEB6-81FE7566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843"/>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0A2F74"/>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0A2F74"/>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0A2F74"/>
    <w:pPr>
      <w:outlineLvl w:val="2"/>
    </w:pPr>
    <w:rPr>
      <w:rFonts w:eastAsiaTheme="majorEastAsia" w:cstheme="majorBidi"/>
      <w:b/>
      <w:bCs/>
    </w:rPr>
  </w:style>
  <w:style w:type="paragraph" w:styleId="Heading4">
    <w:name w:val="heading 4"/>
    <w:basedOn w:val="Normal"/>
    <w:next w:val="Normal"/>
    <w:link w:val="Heading4Char"/>
    <w:uiPriority w:val="99"/>
    <w:semiHidden/>
    <w:rsid w:val="000A2F74"/>
    <w:pPr>
      <w:outlineLvl w:val="3"/>
    </w:pPr>
    <w:rPr>
      <w:rFonts w:eastAsiaTheme="majorEastAsia" w:cstheme="majorBidi"/>
      <w:b/>
      <w:iCs/>
    </w:rPr>
  </w:style>
  <w:style w:type="paragraph" w:styleId="Heading5">
    <w:name w:val="heading 5"/>
    <w:basedOn w:val="Normal"/>
    <w:next w:val="Normal"/>
    <w:link w:val="Heading5Char"/>
    <w:uiPriority w:val="99"/>
    <w:semiHidden/>
    <w:rsid w:val="000A2F74"/>
    <w:pPr>
      <w:outlineLvl w:val="4"/>
    </w:pPr>
    <w:rPr>
      <w:rFonts w:eastAsiaTheme="majorEastAsia" w:cstheme="majorBidi"/>
      <w:b/>
    </w:rPr>
  </w:style>
  <w:style w:type="paragraph" w:styleId="Heading6">
    <w:name w:val="heading 6"/>
    <w:basedOn w:val="Normal"/>
    <w:next w:val="Normal"/>
    <w:link w:val="Heading6Char"/>
    <w:uiPriority w:val="99"/>
    <w:semiHidden/>
    <w:rsid w:val="000A2F74"/>
    <w:pPr>
      <w:outlineLvl w:val="5"/>
    </w:pPr>
    <w:rPr>
      <w:rFonts w:eastAsiaTheme="majorEastAsia" w:cstheme="majorBidi"/>
      <w:b/>
    </w:rPr>
  </w:style>
  <w:style w:type="paragraph" w:styleId="Heading7">
    <w:name w:val="heading 7"/>
    <w:basedOn w:val="Normal"/>
    <w:next w:val="Normal"/>
    <w:link w:val="Heading7Char"/>
    <w:uiPriority w:val="99"/>
    <w:semiHidden/>
    <w:rsid w:val="000A2F74"/>
    <w:pPr>
      <w:outlineLvl w:val="6"/>
    </w:pPr>
    <w:rPr>
      <w:rFonts w:eastAsiaTheme="majorEastAsia" w:cstheme="majorBidi"/>
      <w:b/>
      <w:iCs/>
    </w:rPr>
  </w:style>
  <w:style w:type="paragraph" w:styleId="Heading8">
    <w:name w:val="heading 8"/>
    <w:basedOn w:val="Normal"/>
    <w:next w:val="Normal"/>
    <w:link w:val="Heading8Char"/>
    <w:uiPriority w:val="99"/>
    <w:semiHidden/>
    <w:rsid w:val="000A2F74"/>
    <w:pPr>
      <w:outlineLvl w:val="7"/>
    </w:pPr>
    <w:rPr>
      <w:rFonts w:eastAsiaTheme="majorEastAsia" w:cstheme="majorBidi"/>
      <w:b/>
      <w:szCs w:val="21"/>
    </w:rPr>
  </w:style>
  <w:style w:type="paragraph" w:styleId="Heading9">
    <w:name w:val="heading 9"/>
    <w:basedOn w:val="Normal"/>
    <w:next w:val="Normal"/>
    <w:link w:val="Heading9Char"/>
    <w:uiPriority w:val="99"/>
    <w:semiHidden/>
    <w:rsid w:val="000A2F74"/>
    <w:pPr>
      <w:outlineLvl w:val="8"/>
    </w:pPr>
    <w:rPr>
      <w:rFonts w:eastAsiaTheme="majorEastAsia" w:cstheme="majorBidi"/>
      <w:b/>
      <w:iCs/>
      <w:szCs w:val="21"/>
    </w:rPr>
  </w:style>
  <w:style w:type="character" w:default="1" w:styleId="DefaultParagraphFont">
    <w:name w:val="Default Paragraph Font"/>
    <w:uiPriority w:val="1"/>
    <w:semiHidden/>
    <w:unhideWhenUsed/>
    <w:rsid w:val="00BE48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4843"/>
  </w:style>
  <w:style w:type="character" w:customStyle="1" w:styleId="Heading1Char">
    <w:name w:val="Heading 1 Char"/>
    <w:basedOn w:val="DefaultParagraphFont"/>
    <w:link w:val="Heading1"/>
    <w:uiPriority w:val="99"/>
    <w:semiHidden/>
    <w:rsid w:val="000A2F74"/>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0A2F74"/>
    <w:rPr>
      <w:rFonts w:eastAsiaTheme="majorEastAsia" w:cstheme="majorBidi"/>
      <w:b/>
      <w:bCs/>
      <w:szCs w:val="26"/>
    </w:rPr>
  </w:style>
  <w:style w:type="character" w:customStyle="1" w:styleId="Heading3Char">
    <w:name w:val="Heading 3 Char"/>
    <w:basedOn w:val="DefaultParagraphFont"/>
    <w:link w:val="Heading3"/>
    <w:uiPriority w:val="99"/>
    <w:semiHidden/>
    <w:rsid w:val="000A2F74"/>
    <w:rPr>
      <w:rFonts w:eastAsiaTheme="majorEastAsia" w:cstheme="majorBidi"/>
      <w:b/>
      <w:bCs/>
    </w:rPr>
  </w:style>
  <w:style w:type="paragraph" w:styleId="TOCHeading">
    <w:name w:val="TOC Heading"/>
    <w:basedOn w:val="Heading1"/>
    <w:next w:val="Normal"/>
    <w:uiPriority w:val="99"/>
    <w:semiHidden/>
    <w:unhideWhenUsed/>
    <w:qFormat/>
    <w:rsid w:val="000A2F74"/>
    <w:pPr>
      <w:outlineLvl w:val="9"/>
    </w:pPr>
  </w:style>
  <w:style w:type="paragraph" w:styleId="BalloonText">
    <w:name w:val="Balloon Text"/>
    <w:basedOn w:val="Normal"/>
    <w:link w:val="BalloonTextChar"/>
    <w:uiPriority w:val="99"/>
    <w:semiHidden/>
    <w:unhideWhenUsed/>
    <w:rsid w:val="000A2F74"/>
    <w:rPr>
      <w:rFonts w:ascii="Tahoma" w:hAnsi="Tahoma" w:cs="Tahoma"/>
      <w:sz w:val="16"/>
      <w:szCs w:val="16"/>
    </w:rPr>
  </w:style>
  <w:style w:type="character" w:customStyle="1" w:styleId="BalloonTextChar">
    <w:name w:val="Balloon Text Char"/>
    <w:basedOn w:val="DefaultParagraphFont"/>
    <w:link w:val="BalloonText"/>
    <w:uiPriority w:val="99"/>
    <w:semiHidden/>
    <w:rsid w:val="000A2F74"/>
    <w:rPr>
      <w:rFonts w:ascii="Tahoma" w:hAnsi="Tahoma" w:cs="Tahoma"/>
      <w:sz w:val="16"/>
      <w:szCs w:val="16"/>
    </w:rPr>
  </w:style>
  <w:style w:type="paragraph" w:styleId="Footer">
    <w:name w:val="footer"/>
    <w:basedOn w:val="Normal"/>
    <w:link w:val="FooterChar"/>
    <w:uiPriority w:val="99"/>
    <w:semiHidden/>
    <w:rsid w:val="000A2F74"/>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0A2F74"/>
    <w:rPr>
      <w:sz w:val="18"/>
    </w:rPr>
  </w:style>
  <w:style w:type="paragraph" w:styleId="TOC1">
    <w:name w:val="toc 1"/>
    <w:basedOn w:val="Normal"/>
    <w:next w:val="Normal"/>
    <w:autoRedefine/>
    <w:uiPriority w:val="99"/>
    <w:semiHidden/>
    <w:qFormat/>
    <w:rsid w:val="000A2F74"/>
    <w:pPr>
      <w:tabs>
        <w:tab w:val="right" w:leader="dot" w:pos="9288"/>
      </w:tabs>
      <w:ind w:hanging="720"/>
    </w:pPr>
  </w:style>
  <w:style w:type="paragraph" w:customStyle="1" w:styleId="1Heading1">
    <w:name w:val="1 Heading 1"/>
    <w:basedOn w:val="Normal"/>
    <w:link w:val="1Heading1Char"/>
    <w:uiPriority w:val="1"/>
    <w:qFormat/>
    <w:rsid w:val="000A2F74"/>
    <w:pPr>
      <w:numPr>
        <w:numId w:val="1"/>
      </w:numPr>
      <w:spacing w:before="240"/>
      <w:ind w:left="0" w:hanging="720"/>
      <w:outlineLvl w:val="0"/>
    </w:pPr>
    <w:rPr>
      <w:b/>
      <w:szCs w:val="28"/>
    </w:rPr>
  </w:style>
  <w:style w:type="character" w:styleId="Hyperlink">
    <w:name w:val="Hyperlink"/>
    <w:basedOn w:val="DefaultParagraphFont"/>
    <w:uiPriority w:val="99"/>
    <w:semiHidden/>
    <w:rsid w:val="000A2F74"/>
    <w:rPr>
      <w:color w:val="0000FF" w:themeColor="hyperlink"/>
      <w:u w:val="single"/>
    </w:rPr>
  </w:style>
  <w:style w:type="character" w:styleId="PlaceholderText">
    <w:name w:val="Placeholder Text"/>
    <w:basedOn w:val="DefaultParagraphFont"/>
    <w:uiPriority w:val="99"/>
    <w:semiHidden/>
    <w:rsid w:val="000A2F74"/>
    <w:rPr>
      <w:b/>
      <w:i/>
      <w:color w:val="C00000"/>
      <w:u w:val="single"/>
    </w:rPr>
  </w:style>
  <w:style w:type="table" w:styleId="TableGrid">
    <w:name w:val="Table Grid"/>
    <w:basedOn w:val="TableNormal"/>
    <w:uiPriority w:val="59"/>
    <w:rsid w:val="000A2F7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0A2F74"/>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0A2F74"/>
    <w:rPr>
      <w:rFonts w:ascii="Courier New" w:eastAsia="Times New Roman" w:hAnsi="Courier New"/>
    </w:rPr>
  </w:style>
  <w:style w:type="paragraph" w:styleId="BodyTextIndent">
    <w:name w:val="Body Text Indent"/>
    <w:basedOn w:val="Normal"/>
    <w:link w:val="BodyTextIndentChar"/>
    <w:uiPriority w:val="99"/>
    <w:semiHidden/>
    <w:rsid w:val="000A2F74"/>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0A2F74"/>
    <w:rPr>
      <w:rFonts w:eastAsia="Times New Roman"/>
      <w:spacing w:val="-2"/>
    </w:rPr>
  </w:style>
  <w:style w:type="table" w:styleId="TableGrid1">
    <w:name w:val="Table Grid 1"/>
    <w:basedOn w:val="TableNormal"/>
    <w:uiPriority w:val="99"/>
    <w:semiHidden/>
    <w:unhideWhenUsed/>
    <w:rsid w:val="000A2F74"/>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0A2F74"/>
    <w:pPr>
      <w:numPr>
        <w:numId w:val="25"/>
      </w:numPr>
    </w:pPr>
  </w:style>
  <w:style w:type="paragraph" w:styleId="DocumentMap">
    <w:name w:val="Document Map"/>
    <w:basedOn w:val="Normal"/>
    <w:link w:val="DocumentMapChar"/>
    <w:uiPriority w:val="99"/>
    <w:semiHidden/>
    <w:unhideWhenUsed/>
    <w:rsid w:val="000A2F74"/>
    <w:rPr>
      <w:rFonts w:ascii="Tahoma" w:hAnsi="Tahoma" w:cs="Tahoma"/>
      <w:sz w:val="16"/>
      <w:szCs w:val="16"/>
    </w:rPr>
  </w:style>
  <w:style w:type="character" w:customStyle="1" w:styleId="DocumentMapChar">
    <w:name w:val="Document Map Char"/>
    <w:basedOn w:val="DefaultParagraphFont"/>
    <w:link w:val="DocumentMap"/>
    <w:uiPriority w:val="99"/>
    <w:semiHidden/>
    <w:rsid w:val="000A2F74"/>
    <w:rPr>
      <w:rFonts w:ascii="Tahoma" w:hAnsi="Tahoma" w:cs="Tahoma"/>
      <w:sz w:val="16"/>
      <w:szCs w:val="16"/>
    </w:rPr>
  </w:style>
  <w:style w:type="paragraph" w:customStyle="1" w:styleId="ssBidItem">
    <w:name w:val="ssBidItem"/>
    <w:basedOn w:val="spParagraph"/>
    <w:uiPriority w:val="9"/>
    <w:rsid w:val="000A2F74"/>
    <w:pPr>
      <w:tabs>
        <w:tab w:val="left" w:pos="1584"/>
        <w:tab w:val="right" w:pos="9360"/>
      </w:tabs>
      <w:spacing w:before="60" w:after="60"/>
    </w:pPr>
    <w:rPr>
      <w:rFonts w:eastAsia="Times New Roman"/>
      <w:sz w:val="18"/>
      <w:szCs w:val="20"/>
    </w:rPr>
  </w:style>
  <w:style w:type="paragraph" w:customStyle="1" w:styleId="wiComment">
    <w:name w:val="wiComment"/>
    <w:basedOn w:val="spSmall"/>
    <w:rsid w:val="000A2F74"/>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0A2F74"/>
    <w:pPr>
      <w:spacing w:after="0"/>
    </w:pPr>
    <w:rPr>
      <w:rFonts w:ascii="Times New Roman" w:hAnsi="Times New Roman" w:cs="Times New Roman"/>
      <w:sz w:val="24"/>
      <w:szCs w:val="24"/>
    </w:rPr>
  </w:style>
  <w:style w:type="paragraph" w:customStyle="1" w:styleId="spNumList1">
    <w:name w:val="spNumList1"/>
    <w:basedOn w:val="spSmall"/>
    <w:uiPriority w:val="2"/>
    <w:rsid w:val="000A2F74"/>
    <w:pPr>
      <w:ind w:left="720" w:hanging="360"/>
    </w:pPr>
    <w:rPr>
      <w:rFonts w:eastAsia="Times New Roman" w:cs="Times New Roman"/>
      <w:szCs w:val="20"/>
    </w:rPr>
  </w:style>
  <w:style w:type="paragraph" w:customStyle="1" w:styleId="ssParagraph">
    <w:name w:val="ssParagraph"/>
    <w:basedOn w:val="spParagraph"/>
    <w:uiPriority w:val="8"/>
    <w:rsid w:val="000A2F74"/>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0A2F74"/>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0A2F74"/>
    <w:pPr>
      <w:ind w:left="0"/>
    </w:pPr>
    <w:rPr>
      <w:szCs w:val="24"/>
    </w:rPr>
  </w:style>
  <w:style w:type="paragraph" w:customStyle="1" w:styleId="spTable">
    <w:name w:val="spTable"/>
    <w:basedOn w:val="spSmall"/>
    <w:uiPriority w:val="5"/>
    <w:rsid w:val="000A2F74"/>
    <w:pPr>
      <w:keepNext/>
      <w:ind w:left="0"/>
      <w:jc w:val="center"/>
    </w:pPr>
    <w:rPr>
      <w:szCs w:val="22"/>
    </w:rPr>
  </w:style>
  <w:style w:type="paragraph" w:customStyle="1" w:styleId="spSmall">
    <w:name w:val="spSmall"/>
    <w:basedOn w:val="spParagraph"/>
    <w:uiPriority w:val="3"/>
    <w:rsid w:val="000A2F74"/>
    <w:pPr>
      <w:spacing w:before="60" w:after="60"/>
      <w:ind w:left="360"/>
    </w:pPr>
    <w:rPr>
      <w:sz w:val="18"/>
    </w:rPr>
  </w:style>
  <w:style w:type="character" w:customStyle="1" w:styleId="ssParagraphNumber">
    <w:name w:val="ssParagraphNumber"/>
    <w:basedOn w:val="DefaultParagraphFont"/>
    <w:uiPriority w:val="6"/>
    <w:rsid w:val="000A2F74"/>
    <w:rPr>
      <w:sz w:val="12"/>
    </w:rPr>
  </w:style>
  <w:style w:type="character" w:customStyle="1" w:styleId="1Heading1Char">
    <w:name w:val="1 Heading 1 Char"/>
    <w:basedOn w:val="DefaultParagraphFont"/>
    <w:link w:val="1Heading1"/>
    <w:uiPriority w:val="1"/>
    <w:rsid w:val="000A2F74"/>
    <w:rPr>
      <w:b/>
      <w:sz w:val="22"/>
      <w:szCs w:val="28"/>
    </w:rPr>
  </w:style>
  <w:style w:type="paragraph" w:customStyle="1" w:styleId="spParagraph">
    <w:name w:val="spParagraph"/>
    <w:uiPriority w:val="1"/>
    <w:rsid w:val="000A2F74"/>
    <w:rPr>
      <w:szCs w:val="28"/>
    </w:rPr>
  </w:style>
  <w:style w:type="paragraph" w:customStyle="1" w:styleId="spTableTitle">
    <w:name w:val="spTableTitle"/>
    <w:basedOn w:val="spTable"/>
    <w:uiPriority w:val="4"/>
    <w:rsid w:val="000A2F74"/>
    <w:pPr>
      <w:spacing w:before="120"/>
    </w:pPr>
    <w:rPr>
      <w:b/>
    </w:rPr>
  </w:style>
  <w:style w:type="paragraph" w:styleId="TOC2">
    <w:name w:val="toc 2"/>
    <w:basedOn w:val="Normal"/>
    <w:next w:val="Normal"/>
    <w:autoRedefine/>
    <w:uiPriority w:val="99"/>
    <w:semiHidden/>
    <w:qFormat/>
    <w:rsid w:val="000A2F74"/>
    <w:pPr>
      <w:spacing w:after="100"/>
      <w:ind w:left="220"/>
    </w:pPr>
    <w:rPr>
      <w:rFonts w:eastAsiaTheme="minorEastAsia"/>
    </w:rPr>
  </w:style>
  <w:style w:type="paragraph" w:styleId="TOC3">
    <w:name w:val="toc 3"/>
    <w:basedOn w:val="Normal"/>
    <w:next w:val="Normal"/>
    <w:autoRedefine/>
    <w:uiPriority w:val="99"/>
    <w:semiHidden/>
    <w:qFormat/>
    <w:rsid w:val="000A2F74"/>
    <w:pPr>
      <w:spacing w:after="100"/>
      <w:ind w:left="440"/>
    </w:pPr>
    <w:rPr>
      <w:rFonts w:eastAsiaTheme="minorEastAsia"/>
    </w:rPr>
  </w:style>
  <w:style w:type="paragraph" w:styleId="TOC4">
    <w:name w:val="toc 4"/>
    <w:basedOn w:val="Normal"/>
    <w:next w:val="Normal"/>
    <w:autoRedefine/>
    <w:uiPriority w:val="99"/>
    <w:semiHidden/>
    <w:rsid w:val="000A2F74"/>
    <w:pPr>
      <w:spacing w:after="100" w:line="276" w:lineRule="auto"/>
      <w:ind w:left="660"/>
    </w:pPr>
    <w:rPr>
      <w:rFonts w:eastAsiaTheme="minorEastAsia"/>
    </w:rPr>
  </w:style>
  <w:style w:type="paragraph" w:styleId="TOC5">
    <w:name w:val="toc 5"/>
    <w:basedOn w:val="Normal"/>
    <w:next w:val="Normal"/>
    <w:autoRedefine/>
    <w:uiPriority w:val="99"/>
    <w:semiHidden/>
    <w:rsid w:val="000A2F74"/>
    <w:pPr>
      <w:spacing w:after="100" w:line="276" w:lineRule="auto"/>
      <w:ind w:left="880"/>
    </w:pPr>
    <w:rPr>
      <w:rFonts w:eastAsiaTheme="minorEastAsia"/>
    </w:rPr>
  </w:style>
  <w:style w:type="paragraph" w:styleId="TOC6">
    <w:name w:val="toc 6"/>
    <w:basedOn w:val="Normal"/>
    <w:next w:val="Normal"/>
    <w:autoRedefine/>
    <w:uiPriority w:val="99"/>
    <w:semiHidden/>
    <w:rsid w:val="000A2F74"/>
    <w:pPr>
      <w:spacing w:after="100" w:line="276" w:lineRule="auto"/>
      <w:ind w:left="1100"/>
    </w:pPr>
    <w:rPr>
      <w:rFonts w:eastAsiaTheme="minorEastAsia"/>
    </w:rPr>
  </w:style>
  <w:style w:type="paragraph" w:styleId="TOC7">
    <w:name w:val="toc 7"/>
    <w:basedOn w:val="Normal"/>
    <w:next w:val="Normal"/>
    <w:autoRedefine/>
    <w:uiPriority w:val="99"/>
    <w:semiHidden/>
    <w:rsid w:val="000A2F74"/>
    <w:pPr>
      <w:spacing w:after="100" w:line="276" w:lineRule="auto"/>
      <w:ind w:left="1320"/>
    </w:pPr>
    <w:rPr>
      <w:rFonts w:eastAsiaTheme="minorEastAsia"/>
    </w:rPr>
  </w:style>
  <w:style w:type="paragraph" w:styleId="TOC8">
    <w:name w:val="toc 8"/>
    <w:basedOn w:val="Normal"/>
    <w:next w:val="Normal"/>
    <w:autoRedefine/>
    <w:uiPriority w:val="99"/>
    <w:semiHidden/>
    <w:rsid w:val="000A2F74"/>
    <w:pPr>
      <w:spacing w:after="100" w:line="276" w:lineRule="auto"/>
      <w:ind w:left="1540"/>
    </w:pPr>
    <w:rPr>
      <w:rFonts w:eastAsiaTheme="minorEastAsia"/>
    </w:rPr>
  </w:style>
  <w:style w:type="paragraph" w:styleId="TOC9">
    <w:name w:val="toc 9"/>
    <w:basedOn w:val="Normal"/>
    <w:next w:val="Normal"/>
    <w:autoRedefine/>
    <w:uiPriority w:val="99"/>
    <w:semiHidden/>
    <w:rsid w:val="000A2F74"/>
    <w:pPr>
      <w:spacing w:after="100" w:line="276" w:lineRule="auto"/>
      <w:ind w:left="1760"/>
    </w:pPr>
    <w:rPr>
      <w:rFonts w:eastAsiaTheme="minorEastAsia"/>
    </w:rPr>
  </w:style>
  <w:style w:type="paragraph" w:customStyle="1" w:styleId="spUndefined">
    <w:name w:val="spUndefined"/>
    <w:uiPriority w:val="6"/>
    <w:rsid w:val="000A2F74"/>
    <w:rPr>
      <w:rFonts w:cs="Times New Roman"/>
      <w:bCs/>
      <w:noProof/>
      <w:szCs w:val="28"/>
    </w:rPr>
  </w:style>
  <w:style w:type="paragraph" w:customStyle="1" w:styleId="spEOF">
    <w:name w:val="spEOF"/>
    <w:autoRedefine/>
    <w:uiPriority w:val="11"/>
    <w:semiHidden/>
    <w:rsid w:val="000A2F74"/>
    <w:pPr>
      <w:spacing w:after="0"/>
      <w:jc w:val="center"/>
    </w:pPr>
    <w:rPr>
      <w:rFonts w:cs="Times New Roman"/>
      <w:b/>
      <w:color w:val="7030A0"/>
      <w:sz w:val="40"/>
      <w:szCs w:val="24"/>
    </w:rPr>
  </w:style>
  <w:style w:type="character" w:customStyle="1" w:styleId="spHeading">
    <w:name w:val="spHeading"/>
    <w:basedOn w:val="DefaultParagraphFont"/>
    <w:uiPriority w:val="1"/>
    <w:rsid w:val="000A2F74"/>
    <w:rPr>
      <w:b/>
    </w:rPr>
  </w:style>
  <w:style w:type="paragraph" w:customStyle="1" w:styleId="wiWebLink">
    <w:name w:val="wiWebLink"/>
    <w:basedOn w:val="Normal"/>
    <w:uiPriority w:val="5"/>
    <w:rsid w:val="000A2F74"/>
    <w:pPr>
      <w:widowControl w:val="0"/>
      <w:spacing w:after="60"/>
      <w:jc w:val="center"/>
    </w:pPr>
    <w:rPr>
      <w:rFonts w:eastAsia="Times New Roman"/>
      <w:sz w:val="18"/>
      <w:u w:val="single"/>
    </w:rPr>
  </w:style>
  <w:style w:type="paragraph" w:customStyle="1" w:styleId="spNumList2">
    <w:name w:val="spNumList2"/>
    <w:basedOn w:val="spNumList1"/>
    <w:uiPriority w:val="2"/>
    <w:rsid w:val="000A2F74"/>
    <w:pPr>
      <w:ind w:left="1296" w:hanging="432"/>
    </w:pPr>
  </w:style>
  <w:style w:type="paragraph" w:customStyle="1" w:styleId="spNumList3">
    <w:name w:val="spNumList3"/>
    <w:basedOn w:val="spNumList1"/>
    <w:uiPriority w:val="2"/>
    <w:rsid w:val="000A2F74"/>
    <w:pPr>
      <w:ind w:left="1872" w:hanging="576"/>
    </w:pPr>
  </w:style>
  <w:style w:type="paragraph" w:customStyle="1" w:styleId="STSP">
    <w:name w:val="STSP"/>
    <w:link w:val="STSPChar"/>
    <w:uiPriority w:val="19"/>
    <w:qFormat/>
    <w:rsid w:val="000A2F74"/>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0A2F74"/>
    <w:rPr>
      <w:rFonts w:cs="Times New Roman"/>
      <w:sz w:val="18"/>
      <w:szCs w:val="24"/>
    </w:rPr>
  </w:style>
  <w:style w:type="paragraph" w:customStyle="1" w:styleId="STSPtable">
    <w:name w:val="STSP table"/>
    <w:basedOn w:val="Normal"/>
    <w:uiPriority w:val="19"/>
    <w:semiHidden/>
    <w:rsid w:val="000A2F74"/>
    <w:pPr>
      <w:spacing w:after="0"/>
      <w:jc w:val="center"/>
    </w:pPr>
    <w:rPr>
      <w:rFonts w:cs="Times New Roman"/>
      <w:sz w:val="18"/>
    </w:rPr>
  </w:style>
  <w:style w:type="paragraph" w:customStyle="1" w:styleId="Table">
    <w:name w:val="Table"/>
    <w:basedOn w:val="Normal"/>
    <w:uiPriority w:val="19"/>
    <w:semiHidden/>
    <w:rsid w:val="000A2F74"/>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0A2F74"/>
    <w:rPr>
      <w:rFonts w:eastAsiaTheme="majorEastAsia" w:cstheme="majorBidi"/>
      <w:b/>
      <w:iCs/>
    </w:rPr>
  </w:style>
  <w:style w:type="character" w:customStyle="1" w:styleId="Heading5Char">
    <w:name w:val="Heading 5 Char"/>
    <w:basedOn w:val="DefaultParagraphFont"/>
    <w:link w:val="Heading5"/>
    <w:uiPriority w:val="99"/>
    <w:semiHidden/>
    <w:rsid w:val="000A2F74"/>
    <w:rPr>
      <w:rFonts w:eastAsiaTheme="majorEastAsia" w:cstheme="majorBidi"/>
      <w:b/>
    </w:rPr>
  </w:style>
  <w:style w:type="character" w:customStyle="1" w:styleId="Heading6Char">
    <w:name w:val="Heading 6 Char"/>
    <w:basedOn w:val="DefaultParagraphFont"/>
    <w:link w:val="Heading6"/>
    <w:uiPriority w:val="99"/>
    <w:semiHidden/>
    <w:rsid w:val="000A2F74"/>
    <w:rPr>
      <w:rFonts w:eastAsiaTheme="majorEastAsia" w:cstheme="majorBidi"/>
      <w:b/>
    </w:rPr>
  </w:style>
  <w:style w:type="character" w:customStyle="1" w:styleId="Heading7Char">
    <w:name w:val="Heading 7 Char"/>
    <w:basedOn w:val="DefaultParagraphFont"/>
    <w:link w:val="Heading7"/>
    <w:uiPriority w:val="99"/>
    <w:semiHidden/>
    <w:rsid w:val="000A2F74"/>
    <w:rPr>
      <w:rFonts w:eastAsiaTheme="majorEastAsia" w:cstheme="majorBidi"/>
      <w:b/>
      <w:iCs/>
    </w:rPr>
  </w:style>
  <w:style w:type="character" w:customStyle="1" w:styleId="Heading8Char">
    <w:name w:val="Heading 8 Char"/>
    <w:basedOn w:val="DefaultParagraphFont"/>
    <w:link w:val="Heading8"/>
    <w:uiPriority w:val="99"/>
    <w:semiHidden/>
    <w:rsid w:val="000A2F74"/>
    <w:rPr>
      <w:rFonts w:eastAsiaTheme="majorEastAsia" w:cstheme="majorBidi"/>
      <w:b/>
      <w:szCs w:val="21"/>
    </w:rPr>
  </w:style>
  <w:style w:type="character" w:customStyle="1" w:styleId="Heading9Char">
    <w:name w:val="Heading 9 Char"/>
    <w:basedOn w:val="DefaultParagraphFont"/>
    <w:link w:val="Heading9"/>
    <w:uiPriority w:val="99"/>
    <w:semiHidden/>
    <w:rsid w:val="000A2F74"/>
    <w:rPr>
      <w:rFonts w:eastAsiaTheme="majorEastAsia" w:cstheme="majorBidi"/>
      <w:b/>
      <w:iCs/>
      <w:szCs w:val="21"/>
    </w:rPr>
  </w:style>
  <w:style w:type="paragraph" w:styleId="Header">
    <w:name w:val="header"/>
    <w:basedOn w:val="Normal"/>
    <w:link w:val="HeaderChar"/>
    <w:uiPriority w:val="99"/>
    <w:semiHidden/>
    <w:rsid w:val="000A2F74"/>
  </w:style>
  <w:style w:type="character" w:customStyle="1" w:styleId="HeaderChar">
    <w:name w:val="Header Char"/>
    <w:basedOn w:val="DefaultParagraphFont"/>
    <w:link w:val="Header"/>
    <w:uiPriority w:val="99"/>
    <w:semiHidden/>
    <w:rsid w:val="000A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09488100">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21834464">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4E24-5C0A-47B3-8E25-AC0C18911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purl.org/dc/terms/"/>
    <ds:schemaRef ds:uri="http://schemas.microsoft.com/office/2006/documentManagement/types"/>
    <ds:schemaRef ds:uri="http://purl.org/dc/dcmitype/"/>
    <ds:schemaRef ds:uri="http://schemas.microsoft.com/office/infopath/2007/PartnerControls"/>
    <ds:schemaRef ds:uri="355d201f-0ba2-474b-a0c5-0feb968acbfd"/>
    <ds:schemaRef ds:uri="http://purl.org/dc/elements/1.1/"/>
    <ds:schemaRef ds:uri="http://schemas.microsoft.com/office/2006/metadata/properties"/>
    <ds:schemaRef ds:uri="http://schemas.openxmlformats.org/package/2006/metadata/core-properties"/>
    <ds:schemaRef ds:uri="80a07cf5-3fe2-44dc-8fda-4950f4fec820"/>
    <ds:schemaRef ds:uri="http://www.w3.org/XML/1998/namespace"/>
  </ds:schemaRefs>
</ds:datastoreItem>
</file>

<file path=customXml/itemProps4.xml><?xml version="1.0" encoding="utf-8"?>
<ds:datastoreItem xmlns:ds="http://schemas.openxmlformats.org/officeDocument/2006/customXml" ds:itemID="{3419ED92-9C95-47AB-9D75-23A553B7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NER - Protective Polymer Coating at Snowmobile Trail Crossings</vt:lpstr>
    </vt:vector>
  </TitlesOfParts>
  <Company>WisDOT</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Protective Polymer Coating at Snowmobile Trail Crossings</dc:title>
  <dc:subject/>
  <dc:creator>NER</dc:creator>
  <cp:keywords>Misc_Con</cp:keywords>
  <cp:lastModifiedBy>Jarosinski, Jodi - DOT</cp:lastModifiedBy>
  <cp:revision>2</cp:revision>
  <cp:lastPrinted>2013-06-26T16:11:00Z</cp:lastPrinted>
  <dcterms:created xsi:type="dcterms:W3CDTF">2019-07-22T13:27:00Z</dcterms:created>
  <dcterms:modified xsi:type="dcterms:W3CDTF">2019-07-22T13:27:00Z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315300</vt:r8>
  </property>
</Properties>
</file>