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2193" w14:textId="330BD651" w:rsidR="00AA268F" w:rsidRPr="00755859" w:rsidRDefault="00AA268F" w:rsidP="00AA268F">
      <w:pPr>
        <w:pStyle w:val="1Heading1"/>
      </w:pPr>
      <w:bookmarkStart w:id="0" w:name="_Toc205284142"/>
      <w:bookmarkStart w:id="1" w:name="_Toc220461319"/>
      <w:bookmarkStart w:id="2" w:name="_Toc257719825"/>
      <w:bookmarkStart w:id="3" w:name="_Toc227375599"/>
      <w:r w:rsidRPr="007F3066">
        <w:t>Adjusting Sanitary Manhole Cover</w:t>
      </w:r>
      <w:r w:rsidR="006C0558">
        <w:t>s</w:t>
      </w:r>
      <w:r w:rsidRPr="007F3066">
        <w:t>, Item SPV.0060.</w:t>
      </w:r>
      <w:bookmarkEnd w:id="0"/>
      <w:bookmarkEnd w:id="1"/>
      <w:bookmarkEnd w:id="2"/>
      <w:r w:rsidRPr="007F3066">
        <w:fldChar w:fldCharType="begin">
          <w:ffData>
            <w:name w:val="Text57"/>
            <w:enabled/>
            <w:calcOnExit w:val="0"/>
            <w:textInput>
              <w:default w:val="##"/>
            </w:textInput>
          </w:ffData>
        </w:fldChar>
      </w:r>
      <w:bookmarkStart w:id="4" w:name="Text5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4"/>
    </w:p>
    <w:bookmarkEnd w:id="3"/>
    <w:p w14:paraId="54AF2194" w14:textId="77777777" w:rsidR="00AA268F" w:rsidRPr="00E72D69" w:rsidRDefault="00AA268F" w:rsidP="00AA268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54AF2195" w14:textId="77777777" w:rsidR="00AA268F" w:rsidRDefault="00AA268F" w:rsidP="00AA268F">
      <w:pPr>
        <w:pStyle w:val="spParagraph"/>
      </w:pPr>
      <w:r>
        <w:t>This special provision describes adjusting sanitary manhole covers.</w:t>
      </w:r>
    </w:p>
    <w:p w14:paraId="54AF2196" w14:textId="77777777" w:rsidR="00AA268F" w:rsidRPr="00E72D69" w:rsidRDefault="00AA268F" w:rsidP="00AA268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54AF2197" w14:textId="77777777" w:rsidR="00AA268F" w:rsidRDefault="00AA268F" w:rsidP="00AA268F">
      <w:pPr>
        <w:pStyle w:val="spParagraph"/>
      </w:pPr>
      <w:r>
        <w:t>Use materials conforming to standard spec 611.2.</w:t>
      </w:r>
    </w:p>
    <w:p w14:paraId="54AF2198" w14:textId="77777777" w:rsidR="00AA268F" w:rsidRPr="00E72D69" w:rsidRDefault="00AA268F" w:rsidP="00AA268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54AF2199" w14:textId="77777777" w:rsidR="00AA268F" w:rsidRDefault="00AA268F" w:rsidP="00AA268F">
      <w:pPr>
        <w:pStyle w:val="spParagraph"/>
      </w:pPr>
      <w:r>
        <w:t>Use construction methods conforming to standard spec 611.3 and as follows:</w:t>
      </w:r>
    </w:p>
    <w:p w14:paraId="54AF219A" w14:textId="77777777" w:rsidR="00AA268F" w:rsidRDefault="00AA268F" w:rsidP="00AA268F">
      <w:pPr>
        <w:pStyle w:val="spParagraph"/>
      </w:pPr>
      <w:r>
        <w:t>Remove and reinstall existing chimney seals, as necessary to adjust manhole cover.</w:t>
      </w:r>
    </w:p>
    <w:p w14:paraId="54AF219B" w14:textId="77777777" w:rsidR="00AA268F" w:rsidRPr="00E72D69" w:rsidRDefault="00AA268F" w:rsidP="00AA268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54AF219C" w14:textId="447AA5B3" w:rsidR="00AA268F" w:rsidRDefault="00AA268F" w:rsidP="00AA268F">
      <w:pPr>
        <w:pStyle w:val="spParagraph"/>
      </w:pPr>
      <w:r>
        <w:t xml:space="preserve">The department will measure Adjusting </w:t>
      </w:r>
      <w:r w:rsidR="006C0558">
        <w:t xml:space="preserve">Sanitary </w:t>
      </w:r>
      <w:r>
        <w:t>Manhole Cover</w:t>
      </w:r>
      <w:r w:rsidR="006C0558">
        <w:t>s</w:t>
      </w:r>
      <w:r>
        <w:t xml:space="preserve"> as each individual unit acceptably completed.</w:t>
      </w:r>
    </w:p>
    <w:p w14:paraId="54AF219D" w14:textId="77777777" w:rsidR="00AA268F" w:rsidRPr="00E72D69" w:rsidRDefault="00AA268F" w:rsidP="00AA268F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54AF219E" w14:textId="2DCD3669" w:rsidR="00AA268F" w:rsidRDefault="00AA268F" w:rsidP="00AA268F">
      <w:pPr>
        <w:pStyle w:val="spParagraph"/>
      </w:pPr>
      <w:r>
        <w:t>The department will pay for measured quantities at the contract unit price under the following bid</w:t>
      </w:r>
      <w:r w:rsidR="006C0558">
        <w:t xml:space="preserve"> item</w:t>
      </w:r>
      <w:r>
        <w:t>:</w:t>
      </w:r>
    </w:p>
    <w:p w14:paraId="54AF219F" w14:textId="77777777" w:rsidR="00AA268F" w:rsidRPr="006A49BF" w:rsidRDefault="00AA268F" w:rsidP="00AA268F">
      <w:pPr>
        <w:pStyle w:val="ssBidItem"/>
      </w:pPr>
      <w:r w:rsidRPr="006A49BF">
        <w:t>ITEM NUMBER</w:t>
      </w:r>
      <w:r w:rsidRPr="006A49BF">
        <w:tab/>
        <w:t>DESCRIPTION</w:t>
      </w:r>
      <w:r w:rsidRPr="006A49BF">
        <w:tab/>
        <w:t>UNIT</w:t>
      </w:r>
    </w:p>
    <w:p w14:paraId="54AF21A0" w14:textId="34AD1770" w:rsidR="00AA268F" w:rsidRPr="006A49BF" w:rsidRDefault="00AA268F" w:rsidP="00AA268F">
      <w:pPr>
        <w:pStyle w:val="ssBidItem"/>
      </w:pPr>
      <w:r w:rsidRPr="006A49BF">
        <w:t>SPV.0060.</w:t>
      </w:r>
      <w:r>
        <w:fldChar w:fldCharType="begin">
          <w:ffData>
            <w:name w:val="Text375"/>
            <w:enabled/>
            <w:calcOnExit w:val="0"/>
            <w:textInput>
              <w:default w:val="##"/>
            </w:textInput>
          </w:ffData>
        </w:fldChar>
      </w:r>
      <w:bookmarkStart w:id="5" w:name="Text375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5"/>
      <w:r w:rsidRPr="006A49BF">
        <w:tab/>
        <w:t>Adjusting Sanitary Manhole Cover</w:t>
      </w:r>
      <w:r w:rsidR="006C0558">
        <w:t>s</w:t>
      </w:r>
      <w:r w:rsidRPr="006A49BF">
        <w:tab/>
      </w:r>
      <w:r>
        <w:t>EACH</w:t>
      </w:r>
    </w:p>
    <w:p w14:paraId="54AF21A1" w14:textId="77777777" w:rsidR="00AA268F" w:rsidRDefault="00AA268F" w:rsidP="00AA268F">
      <w:pPr>
        <w:pStyle w:val="spParagraph"/>
      </w:pPr>
      <w:r>
        <w:t>Payment is full compensation for providing all required materials, exclusive of frames, grates, or lids; and for removing, reinstalling and adjusting the covers, including removing and reinstalling the existing chimney seal.</w:t>
      </w:r>
    </w:p>
    <w:p w14:paraId="54AF21A2" w14:textId="0161FF43" w:rsidR="006F22A9" w:rsidRDefault="006F22A9" w:rsidP="006F22A9">
      <w:pPr>
        <w:pStyle w:val="spVersion"/>
      </w:pPr>
      <w:r>
        <w:t>ner-900-005 (201</w:t>
      </w:r>
      <w:r w:rsidR="003A20A3">
        <w:t>90718</w:t>
      </w:r>
      <w:bookmarkStart w:id="6" w:name="_GoBack"/>
      <w:bookmarkEnd w:id="6"/>
      <w:r>
        <w:t>)</w:t>
      </w:r>
    </w:p>
    <w:sectPr w:rsidR="006F22A9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21B7" w14:textId="77777777" w:rsidR="00AA268F" w:rsidRDefault="00AA268F">
      <w:r>
        <w:separator/>
      </w:r>
    </w:p>
    <w:p w14:paraId="54AF21B8" w14:textId="77777777" w:rsidR="00AA268F" w:rsidRDefault="00AA268F"/>
    <w:p w14:paraId="54AF21B9" w14:textId="77777777" w:rsidR="00AA268F" w:rsidRDefault="00AA268F"/>
    <w:p w14:paraId="54AF21BA" w14:textId="77777777" w:rsidR="00AA268F" w:rsidRDefault="00AA268F"/>
    <w:p w14:paraId="54AF21BB" w14:textId="77777777" w:rsidR="00AA268F" w:rsidRDefault="00AA268F"/>
    <w:p w14:paraId="54AF21BC" w14:textId="77777777" w:rsidR="00AA268F" w:rsidRDefault="00AA268F"/>
    <w:p w14:paraId="54AF21BD" w14:textId="77777777" w:rsidR="00AA268F" w:rsidRDefault="00AA268F"/>
    <w:p w14:paraId="54AF21BE" w14:textId="77777777" w:rsidR="00AA268F" w:rsidRDefault="00AA268F"/>
    <w:p w14:paraId="54AF21BF" w14:textId="77777777" w:rsidR="00AA268F" w:rsidRDefault="00AA268F"/>
  </w:endnote>
  <w:endnote w:type="continuationSeparator" w:id="0">
    <w:p w14:paraId="54AF21C0" w14:textId="77777777" w:rsidR="00AA268F" w:rsidRDefault="00AA268F">
      <w:r>
        <w:continuationSeparator/>
      </w:r>
    </w:p>
    <w:p w14:paraId="54AF21C1" w14:textId="77777777" w:rsidR="00AA268F" w:rsidRDefault="00AA268F"/>
    <w:p w14:paraId="54AF21C2" w14:textId="77777777" w:rsidR="00AA268F" w:rsidRDefault="00AA268F"/>
    <w:p w14:paraId="54AF21C3" w14:textId="77777777" w:rsidR="00AA268F" w:rsidRDefault="00AA268F"/>
    <w:p w14:paraId="54AF21C4" w14:textId="77777777" w:rsidR="00AA268F" w:rsidRDefault="00AA268F"/>
    <w:p w14:paraId="54AF21C5" w14:textId="77777777" w:rsidR="00AA268F" w:rsidRDefault="00AA268F"/>
    <w:p w14:paraId="54AF21C6" w14:textId="77777777" w:rsidR="00AA268F" w:rsidRDefault="00AA268F"/>
    <w:p w14:paraId="54AF21C7" w14:textId="77777777" w:rsidR="00AA268F" w:rsidRDefault="00AA268F"/>
    <w:p w14:paraId="54AF21C8" w14:textId="77777777" w:rsidR="00AA268F" w:rsidRDefault="00AA268F"/>
  </w:endnote>
  <w:endnote w:type="continuationNotice" w:id="1">
    <w:p w14:paraId="54AF21C9" w14:textId="77777777" w:rsidR="00AA268F" w:rsidRDefault="00AA268F"/>
    <w:p w14:paraId="54AF21CA" w14:textId="77777777" w:rsidR="00AA268F" w:rsidRDefault="00AA2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CD" w14:textId="77777777" w:rsidR="00A34130" w:rsidRDefault="00A34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CE" w14:textId="17002B6E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45D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E45DB7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D0" w14:textId="77777777" w:rsidR="00A34130" w:rsidRDefault="00A3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21A3" w14:textId="77777777" w:rsidR="00AA268F" w:rsidRDefault="00AA268F">
      <w:r>
        <w:separator/>
      </w:r>
    </w:p>
    <w:p w14:paraId="54AF21A4" w14:textId="77777777" w:rsidR="00AA268F" w:rsidRDefault="00AA268F"/>
    <w:p w14:paraId="54AF21A5" w14:textId="77777777" w:rsidR="00AA268F" w:rsidRDefault="00AA268F"/>
    <w:p w14:paraId="54AF21A6" w14:textId="77777777" w:rsidR="00AA268F" w:rsidRDefault="00AA268F"/>
    <w:p w14:paraId="54AF21A7" w14:textId="77777777" w:rsidR="00AA268F" w:rsidRDefault="00AA268F"/>
    <w:p w14:paraId="54AF21A8" w14:textId="77777777" w:rsidR="00AA268F" w:rsidRDefault="00AA268F"/>
    <w:p w14:paraId="54AF21A9" w14:textId="77777777" w:rsidR="00AA268F" w:rsidRDefault="00AA268F"/>
    <w:p w14:paraId="54AF21AA" w14:textId="77777777" w:rsidR="00AA268F" w:rsidRDefault="00AA268F"/>
    <w:p w14:paraId="54AF21AB" w14:textId="77777777" w:rsidR="00AA268F" w:rsidRDefault="00AA268F"/>
  </w:footnote>
  <w:footnote w:type="continuationSeparator" w:id="0">
    <w:p w14:paraId="54AF21AC" w14:textId="77777777" w:rsidR="00AA268F" w:rsidRDefault="00AA268F">
      <w:r>
        <w:continuationSeparator/>
      </w:r>
    </w:p>
    <w:p w14:paraId="54AF21AD" w14:textId="77777777" w:rsidR="00AA268F" w:rsidRDefault="00AA268F"/>
    <w:p w14:paraId="54AF21AE" w14:textId="77777777" w:rsidR="00AA268F" w:rsidRDefault="00AA268F"/>
    <w:p w14:paraId="54AF21AF" w14:textId="77777777" w:rsidR="00AA268F" w:rsidRDefault="00AA268F"/>
    <w:p w14:paraId="54AF21B0" w14:textId="77777777" w:rsidR="00AA268F" w:rsidRDefault="00AA268F"/>
    <w:p w14:paraId="54AF21B1" w14:textId="77777777" w:rsidR="00AA268F" w:rsidRDefault="00AA268F"/>
    <w:p w14:paraId="54AF21B2" w14:textId="77777777" w:rsidR="00AA268F" w:rsidRDefault="00AA268F"/>
    <w:p w14:paraId="54AF21B3" w14:textId="77777777" w:rsidR="00AA268F" w:rsidRDefault="00AA268F"/>
    <w:p w14:paraId="54AF21B4" w14:textId="77777777" w:rsidR="00AA268F" w:rsidRDefault="00AA268F"/>
  </w:footnote>
  <w:footnote w:type="continuationNotice" w:id="1">
    <w:p w14:paraId="54AF21B5" w14:textId="77777777" w:rsidR="00AA268F" w:rsidRDefault="00AA268F"/>
    <w:p w14:paraId="54AF21B6" w14:textId="77777777" w:rsidR="00AA268F" w:rsidRDefault="00AA2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CB" w14:textId="77777777" w:rsidR="00A34130" w:rsidRDefault="00A34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CC" w14:textId="77777777" w:rsidR="00A34130" w:rsidRDefault="00A34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21CF" w14:textId="77777777" w:rsidR="006F22A9" w:rsidRDefault="006F22A9" w:rsidP="006F2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F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4C44"/>
    <w:rsid w:val="00377378"/>
    <w:rsid w:val="0038087B"/>
    <w:rsid w:val="003841BC"/>
    <w:rsid w:val="003851E6"/>
    <w:rsid w:val="00385427"/>
    <w:rsid w:val="0039322B"/>
    <w:rsid w:val="00396A8D"/>
    <w:rsid w:val="00397A88"/>
    <w:rsid w:val="003A20A3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B7960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558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22A9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14F4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85E5A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413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268F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02FB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5DB7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AF2193"/>
  <w15:docId w15:val="{6D420C45-FE3E-48E7-B946-5A0C327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3A20A3"/>
  </w:style>
  <w:style w:type="paragraph" w:styleId="Heading1">
    <w:name w:val="heading 1"/>
    <w:basedOn w:val="Normal"/>
    <w:next w:val="Normal"/>
    <w:link w:val="Heading1Char"/>
    <w:uiPriority w:val="99"/>
    <w:semiHidden/>
    <w:rsid w:val="003A20A3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A20A3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A20A3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A20A3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A20A3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A20A3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3A20A3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3A20A3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A20A3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3A20A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0A3"/>
  </w:style>
  <w:style w:type="character" w:customStyle="1" w:styleId="Heading1Char">
    <w:name w:val="Heading 1 Char"/>
    <w:basedOn w:val="DefaultParagraphFont"/>
    <w:link w:val="Heading1"/>
    <w:uiPriority w:val="99"/>
    <w:semiHidden/>
    <w:rsid w:val="003A20A3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A20A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A20A3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3A20A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A20A3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20A3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3A20A3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3A20A3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3A20A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A20A3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3A20A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A20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0A3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3A20A3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20A3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3A20A3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3A20A3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A20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20A3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3A20A3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3A20A3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3A20A3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3A20A3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3A20A3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3A20A3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3A20A3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3A20A3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3A20A3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3A20A3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3A20A3"/>
    <w:rPr>
      <w:b/>
      <w:sz w:val="22"/>
      <w:szCs w:val="28"/>
    </w:rPr>
  </w:style>
  <w:style w:type="paragraph" w:customStyle="1" w:styleId="spParagraph">
    <w:name w:val="spParagraph"/>
    <w:uiPriority w:val="1"/>
    <w:rsid w:val="003A20A3"/>
    <w:rPr>
      <w:szCs w:val="28"/>
    </w:rPr>
  </w:style>
  <w:style w:type="paragraph" w:customStyle="1" w:styleId="spTableTitle">
    <w:name w:val="spTableTitle"/>
    <w:basedOn w:val="spTable"/>
    <w:uiPriority w:val="4"/>
    <w:rsid w:val="003A20A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3A20A3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3A20A3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3A20A3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3A20A3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3A20A3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3A20A3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3A20A3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3A20A3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A20A3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3A20A3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3A20A3"/>
    <w:rPr>
      <w:b/>
    </w:rPr>
  </w:style>
  <w:style w:type="paragraph" w:customStyle="1" w:styleId="wiWebLink">
    <w:name w:val="wiWebLink"/>
    <w:basedOn w:val="Normal"/>
    <w:uiPriority w:val="5"/>
    <w:rsid w:val="003A20A3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3A20A3"/>
    <w:pPr>
      <w:ind w:left="1296" w:hanging="432"/>
    </w:pPr>
  </w:style>
  <w:style w:type="paragraph" w:customStyle="1" w:styleId="spNumList3">
    <w:name w:val="spNumList3"/>
    <w:basedOn w:val="spNumList1"/>
    <w:uiPriority w:val="2"/>
    <w:rsid w:val="003A20A3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A20A3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A20A3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3A20A3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3A20A3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A20A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A20A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A20A3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A20A3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A20A3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A20A3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3A20A3"/>
  </w:style>
  <w:style w:type="character" w:customStyle="1" w:styleId="HeaderChar">
    <w:name w:val="Header Char"/>
    <w:basedOn w:val="DefaultParagraphFont"/>
    <w:link w:val="Header"/>
    <w:uiPriority w:val="99"/>
    <w:semiHidden/>
    <w:rsid w:val="003A20A3"/>
  </w:style>
  <w:style w:type="character" w:styleId="CommentReference">
    <w:name w:val="annotation reference"/>
    <w:basedOn w:val="DefaultParagraphFont"/>
    <w:uiPriority w:val="99"/>
    <w:semiHidden/>
    <w:rsid w:val="006C0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05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5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58"/>
    <w:rPr>
      <w:b/>
      <w:bCs/>
    </w:rPr>
  </w:style>
  <w:style w:type="character" w:customStyle="1" w:styleId="TextField">
    <w:name w:val="Text Field"/>
    <w:basedOn w:val="DefaultParagraphFont"/>
    <w:uiPriority w:val="1"/>
    <w:rsid w:val="003A20A3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1F05D-8392-4C13-A517-295FAE70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F96BAF-6AEC-4C0A-9E7F-8B9A6818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Adjusting Sanitary Manhole Covers</vt:lpstr>
    </vt:vector>
  </TitlesOfParts>
  <Company>WisDOT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Adjusting Sanitary Manhole Covers</dc:title>
  <dc:subject/>
  <dc:creator>NER</dc:creator>
  <cp:keywords>Water &amp; Sanitary</cp:keywords>
  <cp:lastModifiedBy>Jarosinski, Jodi - DOT</cp:lastModifiedBy>
  <cp:revision>2</cp:revision>
  <cp:lastPrinted>2013-06-26T16:11:00Z</cp:lastPrinted>
  <dcterms:created xsi:type="dcterms:W3CDTF">2019-07-18T19:00:00Z</dcterms:created>
  <dcterms:modified xsi:type="dcterms:W3CDTF">2019-07-18T19:00:00Z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314600</vt:r8>
  </property>
</Properties>
</file>