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F851" w14:textId="77777777" w:rsidR="00C874A3" w:rsidRDefault="00C874A3" w:rsidP="00C874A3">
      <w:pPr>
        <w:pStyle w:val="wiComment"/>
      </w:pPr>
      <w:r w:rsidRPr="00C874A3">
        <w:t>Use this article when retrofitting dowels or when there is no overlay. Coordinate with Pavement Engineer before using.</w:t>
      </w:r>
    </w:p>
    <w:p w14:paraId="06B7F852" w14:textId="77777777" w:rsidR="000C2F7D" w:rsidRPr="00755859" w:rsidRDefault="000C2F7D" w:rsidP="000C2F7D">
      <w:pPr>
        <w:pStyle w:val="1Heading1"/>
      </w:pPr>
      <w:r w:rsidRPr="007F3066">
        <w:t>Removing Raised Pavement Markers, Item SPV.0060.</w:t>
      </w:r>
      <w:r w:rsidRPr="007F3066">
        <w:fldChar w:fldCharType="begin">
          <w:ffData>
            <w:name w:val="Text255"/>
            <w:enabled/>
            <w:calcOnExit w:val="0"/>
            <w:textInput>
              <w:default w:val="##"/>
            </w:textInput>
          </w:ffData>
        </w:fldChar>
      </w:r>
      <w:bookmarkStart w:id="0" w:name="Text255"/>
      <w:r w:rsidRPr="007F3066">
        <w:instrText xml:space="preserve"> FORMTEXT </w:instrText>
      </w:r>
      <w:r w:rsidRPr="007F3066">
        <w:fldChar w:fldCharType="separate"/>
      </w:r>
      <w:r w:rsidRPr="007F3066">
        <w:t>##</w:t>
      </w:r>
      <w:r w:rsidRPr="007F3066">
        <w:fldChar w:fldCharType="end"/>
      </w:r>
      <w:bookmarkEnd w:id="0"/>
    </w:p>
    <w:p w14:paraId="06B7F853" w14:textId="77777777" w:rsidR="000C2F7D" w:rsidRPr="00E72D69" w:rsidRDefault="000C2F7D" w:rsidP="000C2F7D">
      <w:pPr>
        <w:pStyle w:val="spParagraph"/>
        <w:rPr>
          <w:rStyle w:val="spHeading"/>
        </w:rPr>
      </w:pPr>
      <w:r w:rsidRPr="00E72D69">
        <w:rPr>
          <w:rStyle w:val="spHeading"/>
        </w:rPr>
        <w:t>A  Description</w:t>
      </w:r>
    </w:p>
    <w:p w14:paraId="06B7F854" w14:textId="77777777" w:rsidR="000C2F7D" w:rsidRDefault="000C2F7D" w:rsidP="000C2F7D">
      <w:pPr>
        <w:pStyle w:val="spParagraph"/>
      </w:pPr>
      <w:r>
        <w:t>This special provision describes removing existing castings and filling original saw cut areas as the plans show or engineer directs.</w:t>
      </w:r>
    </w:p>
    <w:p w14:paraId="06B7F855" w14:textId="77777777" w:rsidR="000C2F7D" w:rsidRPr="00E72D69" w:rsidRDefault="000C2F7D" w:rsidP="000C2F7D">
      <w:pPr>
        <w:pStyle w:val="spParagraph"/>
        <w:rPr>
          <w:rStyle w:val="spHeading"/>
        </w:rPr>
      </w:pPr>
      <w:r w:rsidRPr="00E72D69">
        <w:rPr>
          <w:rStyle w:val="spHeading"/>
        </w:rPr>
        <w:t>B  Materials</w:t>
      </w:r>
    </w:p>
    <w:p w14:paraId="06B7F856" w14:textId="77777777" w:rsidR="000C2F7D" w:rsidRPr="00A04E79" w:rsidRDefault="000C2F7D" w:rsidP="000C2F7D">
      <w:pPr>
        <w:pStyle w:val="spParagraph"/>
        <w:rPr>
          <w:rStyle w:val="spHeading"/>
        </w:rPr>
      </w:pPr>
      <w:r w:rsidRPr="00A04E79">
        <w:rPr>
          <w:rStyle w:val="spHeading"/>
        </w:rPr>
        <w:t>B.1  Concrete Patch Material</w:t>
      </w:r>
    </w:p>
    <w:p w14:paraId="06B7F857" w14:textId="77777777" w:rsidR="000C2F7D" w:rsidRPr="00A04E79" w:rsidRDefault="000C2F7D" w:rsidP="000C2F7D">
      <w:pPr>
        <w:pStyle w:val="spParagraph"/>
      </w:pPr>
      <w:r w:rsidRPr="00A04E79">
        <w:t>Use concrete patch material tested as Rapid Set Concrete Patching Materials that conforms to ASTM C928 with the following deletion or addition: Delete sections 1.1.1, 1.1.2, and 1.3. Only use material that: (1) provides an opening to traffic compressive strength of 3000 psi in three hours per ASTM C39; (2) exhibits expansion of less than 0.10 percent per ASTM C531; Section 1.3 of the ASTM C531 should be modified to say this test method is limited to materials with aggregate size of 3/8 inch or less; and (3) has a calculated durability factor of 90.0 percent minimum at the end of 300 freeze</w:t>
      </w:r>
      <w:r>
        <w:t>-</w:t>
      </w:r>
      <w:r w:rsidRPr="00A04E79">
        <w:t xml:space="preserve">thaw cycles per ASTM C666, procedure A (water shall contain 5% sodium chloride by mass). </w:t>
      </w:r>
      <w:r>
        <w:t>Before</w:t>
      </w:r>
      <w:r w:rsidRPr="00A04E79">
        <w:t xml:space="preserve"> use, provide a certification of compliance with the above requirements as prescribed by </w:t>
      </w:r>
      <w:r>
        <w:t>standard spec</w:t>
      </w:r>
      <w:r w:rsidRPr="00A04E79">
        <w:t xml:space="preserve"> 106.3.3. Patching material shall be extended with a clean natural aggregate. Aggregate extender shall conform to the requirements prescribed in </w:t>
      </w:r>
      <w:r>
        <w:t>standard spec</w:t>
      </w:r>
      <w:r w:rsidRPr="00A04E79">
        <w:t xml:space="preserve"> 501.2.5.4 except that the size requirements are as follows:</w:t>
      </w:r>
    </w:p>
    <w:p w14:paraId="06B7F858" w14:textId="77777777" w:rsidR="000C2F7D" w:rsidRPr="00A04E79" w:rsidRDefault="000C2F7D" w:rsidP="000C2F7D">
      <w:pPr>
        <w:pStyle w:val="spSmall"/>
      </w:pPr>
      <w:r w:rsidRPr="00A04E79">
        <w:t>Minimum of 95% passing the 3/8 (9.5 mm) sieve</w:t>
      </w:r>
    </w:p>
    <w:p w14:paraId="06B7F859" w14:textId="77777777" w:rsidR="000C2F7D" w:rsidRPr="00A04E79" w:rsidRDefault="000C2F7D" w:rsidP="000C2F7D">
      <w:pPr>
        <w:pStyle w:val="spSmall"/>
      </w:pPr>
      <w:r w:rsidRPr="00A04E79">
        <w:t>Maximum of 25% passing the No. 4 (4.75 mm) sieve</w:t>
      </w:r>
    </w:p>
    <w:p w14:paraId="06B7F85A" w14:textId="77777777" w:rsidR="000C2F7D" w:rsidRPr="00A04E79" w:rsidRDefault="000C2F7D" w:rsidP="000C2F7D">
      <w:pPr>
        <w:pStyle w:val="spParagraph"/>
        <w:rPr>
          <w:rStyle w:val="spHeading"/>
        </w:rPr>
      </w:pPr>
      <w:r w:rsidRPr="00A04E79">
        <w:rPr>
          <w:rStyle w:val="spHeading"/>
        </w:rPr>
        <w:t>B.2  Curing Agent</w:t>
      </w:r>
    </w:p>
    <w:p w14:paraId="06B7F85B" w14:textId="77777777" w:rsidR="000C2F7D" w:rsidRPr="00A04E79" w:rsidRDefault="000C2F7D" w:rsidP="000C2F7D">
      <w:pPr>
        <w:pStyle w:val="spParagraph"/>
      </w:pPr>
      <w:r w:rsidRPr="00A04E79">
        <w:t>Provide a concrete curing agent that is a resin of 100 percent poly</w:t>
      </w:r>
      <w:r>
        <w:t>-</w:t>
      </w:r>
      <w:r w:rsidRPr="00A04E79">
        <w:t>alpha</w:t>
      </w:r>
      <w:r>
        <w:t>-</w:t>
      </w:r>
      <w:r w:rsidRPr="00A04E79">
        <w:t>methylstyrene type curing compound meeting ASTM C309, Type 2, Class B specifications and conforming to all requirements listed in the following table:</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800"/>
        <w:gridCol w:w="1350"/>
      </w:tblGrid>
      <w:tr w:rsidR="000C2F7D" w:rsidRPr="00EC1314" w14:paraId="06B7F85F" w14:textId="77777777" w:rsidTr="00AD4351">
        <w:trPr>
          <w:trHeight w:val="20"/>
        </w:trPr>
        <w:tc>
          <w:tcPr>
            <w:tcW w:w="5850" w:type="dxa"/>
            <w:vAlign w:val="bottom"/>
          </w:tcPr>
          <w:p w14:paraId="06B7F85C" w14:textId="77777777" w:rsidR="000C2F7D" w:rsidRPr="00EC1314" w:rsidRDefault="000C2F7D" w:rsidP="00AD4351">
            <w:pPr>
              <w:pStyle w:val="spTable"/>
              <w:rPr>
                <w:rStyle w:val="spHeading"/>
              </w:rPr>
            </w:pPr>
            <w:r w:rsidRPr="00EC1314">
              <w:rPr>
                <w:rStyle w:val="spHeading"/>
              </w:rPr>
              <w:t>Properties</w:t>
            </w:r>
          </w:p>
        </w:tc>
        <w:tc>
          <w:tcPr>
            <w:tcW w:w="1800" w:type="dxa"/>
            <w:vAlign w:val="bottom"/>
          </w:tcPr>
          <w:p w14:paraId="06B7F85D" w14:textId="77777777" w:rsidR="000C2F7D" w:rsidRPr="00EC1314" w:rsidRDefault="000C2F7D" w:rsidP="00AD4351">
            <w:pPr>
              <w:pStyle w:val="spTable"/>
              <w:rPr>
                <w:rStyle w:val="spHeading"/>
              </w:rPr>
            </w:pPr>
            <w:r w:rsidRPr="00EC1314">
              <w:rPr>
                <w:rStyle w:val="spHeading"/>
              </w:rPr>
              <w:t>Minimum</w:t>
            </w:r>
          </w:p>
        </w:tc>
        <w:tc>
          <w:tcPr>
            <w:tcW w:w="1350" w:type="dxa"/>
            <w:vAlign w:val="bottom"/>
          </w:tcPr>
          <w:p w14:paraId="06B7F85E" w14:textId="77777777" w:rsidR="000C2F7D" w:rsidRPr="00EC1314" w:rsidRDefault="000C2F7D" w:rsidP="00AD4351">
            <w:pPr>
              <w:pStyle w:val="spTable"/>
              <w:rPr>
                <w:rStyle w:val="spHeading"/>
              </w:rPr>
            </w:pPr>
            <w:r w:rsidRPr="00EC1314">
              <w:rPr>
                <w:rStyle w:val="spHeading"/>
              </w:rPr>
              <w:t>Maximum</w:t>
            </w:r>
          </w:p>
        </w:tc>
      </w:tr>
      <w:tr w:rsidR="000C2F7D" w14:paraId="06B7F863" w14:textId="77777777" w:rsidTr="00AD4351">
        <w:trPr>
          <w:trHeight w:val="20"/>
        </w:trPr>
        <w:tc>
          <w:tcPr>
            <w:tcW w:w="5850" w:type="dxa"/>
          </w:tcPr>
          <w:p w14:paraId="06B7F860" w14:textId="77777777" w:rsidR="000C2F7D" w:rsidRDefault="000C2F7D" w:rsidP="00AD4351">
            <w:pPr>
              <w:pStyle w:val="spTable"/>
              <w:jc w:val="left"/>
            </w:pPr>
            <w:r>
              <w:t>Total Solids, % by weight of compound</w:t>
            </w:r>
          </w:p>
        </w:tc>
        <w:tc>
          <w:tcPr>
            <w:tcW w:w="1800" w:type="dxa"/>
          </w:tcPr>
          <w:p w14:paraId="06B7F861" w14:textId="77777777" w:rsidR="000C2F7D" w:rsidRDefault="000C2F7D" w:rsidP="00AD4351">
            <w:pPr>
              <w:pStyle w:val="spTable"/>
              <w:jc w:val="left"/>
            </w:pPr>
            <w:r>
              <w:t>42</w:t>
            </w:r>
          </w:p>
        </w:tc>
        <w:tc>
          <w:tcPr>
            <w:tcW w:w="1350" w:type="dxa"/>
          </w:tcPr>
          <w:p w14:paraId="06B7F862" w14:textId="77777777" w:rsidR="000C2F7D" w:rsidRDefault="000C2F7D" w:rsidP="00AD4351">
            <w:pPr>
              <w:pStyle w:val="spTable"/>
              <w:jc w:val="left"/>
            </w:pPr>
          </w:p>
        </w:tc>
      </w:tr>
      <w:tr w:rsidR="000C2F7D" w14:paraId="06B7F867" w14:textId="77777777" w:rsidTr="00AD4351">
        <w:trPr>
          <w:trHeight w:val="20"/>
        </w:trPr>
        <w:tc>
          <w:tcPr>
            <w:tcW w:w="5850" w:type="dxa"/>
          </w:tcPr>
          <w:p w14:paraId="06B7F864" w14:textId="77777777" w:rsidR="000C2F7D" w:rsidRDefault="000C2F7D" w:rsidP="00AD4351">
            <w:pPr>
              <w:pStyle w:val="spTable"/>
              <w:jc w:val="left"/>
            </w:pPr>
            <w:r>
              <w:t>Reflectance in 72 hours (ASTM E1347)</w:t>
            </w:r>
          </w:p>
        </w:tc>
        <w:tc>
          <w:tcPr>
            <w:tcW w:w="1800" w:type="dxa"/>
          </w:tcPr>
          <w:p w14:paraId="06B7F865" w14:textId="77777777" w:rsidR="000C2F7D" w:rsidRDefault="000C2F7D" w:rsidP="00AD4351">
            <w:pPr>
              <w:pStyle w:val="spTable"/>
              <w:jc w:val="left"/>
            </w:pPr>
            <w:r>
              <w:t>65</w:t>
            </w:r>
          </w:p>
        </w:tc>
        <w:tc>
          <w:tcPr>
            <w:tcW w:w="1350" w:type="dxa"/>
          </w:tcPr>
          <w:p w14:paraId="06B7F866" w14:textId="77777777" w:rsidR="000C2F7D" w:rsidRDefault="000C2F7D" w:rsidP="00AD4351">
            <w:pPr>
              <w:pStyle w:val="spTable"/>
              <w:jc w:val="left"/>
            </w:pPr>
          </w:p>
        </w:tc>
      </w:tr>
      <w:tr w:rsidR="000C2F7D" w14:paraId="06B7F86B" w14:textId="77777777" w:rsidTr="00AD4351">
        <w:trPr>
          <w:trHeight w:val="20"/>
        </w:trPr>
        <w:tc>
          <w:tcPr>
            <w:tcW w:w="5850" w:type="dxa"/>
          </w:tcPr>
          <w:p w14:paraId="06B7F868" w14:textId="77777777" w:rsidR="000C2F7D" w:rsidRDefault="000C2F7D" w:rsidP="00AD4351">
            <w:pPr>
              <w:pStyle w:val="spTable"/>
              <w:jc w:val="left"/>
            </w:pPr>
            <w:r>
              <w:t>Loss of Water, kg/m</w:t>
            </w:r>
            <w:r>
              <w:rPr>
                <w:vertAlign w:val="superscript"/>
              </w:rPr>
              <w:t>2</w:t>
            </w:r>
            <w:r>
              <w:t xml:space="preserve"> in 24 hours (ASTM C156)</w:t>
            </w:r>
          </w:p>
        </w:tc>
        <w:tc>
          <w:tcPr>
            <w:tcW w:w="1800" w:type="dxa"/>
          </w:tcPr>
          <w:p w14:paraId="06B7F869" w14:textId="77777777" w:rsidR="000C2F7D" w:rsidRDefault="000C2F7D" w:rsidP="00AD4351">
            <w:pPr>
              <w:pStyle w:val="spTable"/>
              <w:jc w:val="left"/>
            </w:pPr>
          </w:p>
        </w:tc>
        <w:tc>
          <w:tcPr>
            <w:tcW w:w="1350" w:type="dxa"/>
          </w:tcPr>
          <w:p w14:paraId="06B7F86A" w14:textId="77777777" w:rsidR="000C2F7D" w:rsidRDefault="000C2F7D" w:rsidP="00AD4351">
            <w:pPr>
              <w:pStyle w:val="spTable"/>
              <w:jc w:val="left"/>
            </w:pPr>
            <w:r>
              <w:t>0.15</w:t>
            </w:r>
          </w:p>
        </w:tc>
      </w:tr>
      <w:tr w:rsidR="000C2F7D" w14:paraId="06B7F86F" w14:textId="77777777" w:rsidTr="00AD4351">
        <w:trPr>
          <w:trHeight w:val="20"/>
        </w:trPr>
        <w:tc>
          <w:tcPr>
            <w:tcW w:w="5850" w:type="dxa"/>
          </w:tcPr>
          <w:p w14:paraId="06B7F86C" w14:textId="77777777" w:rsidR="000C2F7D" w:rsidRDefault="000C2F7D" w:rsidP="00AD4351">
            <w:pPr>
              <w:pStyle w:val="spTable"/>
              <w:jc w:val="left"/>
            </w:pPr>
            <w:r>
              <w:t>Loss of Water, kg/m</w:t>
            </w:r>
            <w:r>
              <w:rPr>
                <w:vertAlign w:val="superscript"/>
              </w:rPr>
              <w:t>2</w:t>
            </w:r>
            <w:r>
              <w:t xml:space="preserve"> in 72 hours (ASTM C156)</w:t>
            </w:r>
          </w:p>
        </w:tc>
        <w:tc>
          <w:tcPr>
            <w:tcW w:w="1800" w:type="dxa"/>
          </w:tcPr>
          <w:p w14:paraId="06B7F86D" w14:textId="77777777" w:rsidR="000C2F7D" w:rsidRDefault="000C2F7D" w:rsidP="00AD4351">
            <w:pPr>
              <w:pStyle w:val="spTable"/>
              <w:jc w:val="left"/>
            </w:pPr>
          </w:p>
        </w:tc>
        <w:tc>
          <w:tcPr>
            <w:tcW w:w="1350" w:type="dxa"/>
          </w:tcPr>
          <w:p w14:paraId="06B7F86E" w14:textId="77777777" w:rsidR="000C2F7D" w:rsidRDefault="000C2F7D" w:rsidP="00AD4351">
            <w:pPr>
              <w:pStyle w:val="spTable"/>
              <w:jc w:val="left"/>
            </w:pPr>
            <w:r>
              <w:t>0.40</w:t>
            </w:r>
          </w:p>
        </w:tc>
      </w:tr>
      <w:tr w:rsidR="000C2F7D" w14:paraId="06B7F873" w14:textId="77777777" w:rsidTr="00AD4351">
        <w:trPr>
          <w:trHeight w:val="20"/>
        </w:trPr>
        <w:tc>
          <w:tcPr>
            <w:tcW w:w="5850" w:type="dxa"/>
          </w:tcPr>
          <w:p w14:paraId="06B7F870" w14:textId="77777777" w:rsidR="000C2F7D" w:rsidRDefault="000C2F7D" w:rsidP="00AD4351">
            <w:pPr>
              <w:pStyle w:val="spTable"/>
              <w:jc w:val="left"/>
            </w:pPr>
            <w:r>
              <w:t>Settling Test, ml/100 ml in 72 hours</w:t>
            </w:r>
            <w:r w:rsidRPr="00EC1314">
              <w:rPr>
                <w:i/>
                <w:vertAlign w:val="superscript"/>
              </w:rPr>
              <w:t>[1]</w:t>
            </w:r>
          </w:p>
        </w:tc>
        <w:tc>
          <w:tcPr>
            <w:tcW w:w="1800" w:type="dxa"/>
          </w:tcPr>
          <w:p w14:paraId="06B7F871" w14:textId="77777777" w:rsidR="000C2F7D" w:rsidRDefault="000C2F7D" w:rsidP="00AD4351">
            <w:pPr>
              <w:pStyle w:val="spTable"/>
              <w:jc w:val="left"/>
            </w:pPr>
          </w:p>
        </w:tc>
        <w:tc>
          <w:tcPr>
            <w:tcW w:w="1350" w:type="dxa"/>
          </w:tcPr>
          <w:p w14:paraId="06B7F872" w14:textId="77777777" w:rsidR="000C2F7D" w:rsidRDefault="000C2F7D" w:rsidP="00AD4351">
            <w:pPr>
              <w:pStyle w:val="spTable"/>
              <w:jc w:val="left"/>
            </w:pPr>
            <w:r>
              <w:t>2</w:t>
            </w:r>
          </w:p>
        </w:tc>
      </w:tr>
      <w:tr w:rsidR="000C2F7D" w14:paraId="06B7F877" w14:textId="77777777" w:rsidTr="00AD4351">
        <w:trPr>
          <w:trHeight w:val="20"/>
        </w:trPr>
        <w:tc>
          <w:tcPr>
            <w:tcW w:w="5850" w:type="dxa"/>
          </w:tcPr>
          <w:p w14:paraId="06B7F874" w14:textId="77777777" w:rsidR="000C2F7D" w:rsidRDefault="000C2F7D" w:rsidP="00AD4351">
            <w:pPr>
              <w:pStyle w:val="spTable"/>
              <w:jc w:val="left"/>
            </w:pPr>
            <w:r>
              <w:t>V.O.C. Content, g/L</w:t>
            </w:r>
          </w:p>
        </w:tc>
        <w:tc>
          <w:tcPr>
            <w:tcW w:w="1800" w:type="dxa"/>
          </w:tcPr>
          <w:p w14:paraId="06B7F875" w14:textId="77777777" w:rsidR="000C2F7D" w:rsidRDefault="000C2F7D" w:rsidP="00AD4351">
            <w:pPr>
              <w:pStyle w:val="spTable"/>
              <w:jc w:val="left"/>
            </w:pPr>
          </w:p>
        </w:tc>
        <w:tc>
          <w:tcPr>
            <w:tcW w:w="1350" w:type="dxa"/>
          </w:tcPr>
          <w:p w14:paraId="06B7F876" w14:textId="77777777" w:rsidR="000C2F7D" w:rsidRDefault="000C2F7D" w:rsidP="00AD4351">
            <w:pPr>
              <w:pStyle w:val="spTable"/>
              <w:jc w:val="left"/>
            </w:pPr>
            <w:r>
              <w:t>350</w:t>
            </w:r>
          </w:p>
        </w:tc>
      </w:tr>
      <w:tr w:rsidR="000C2F7D" w14:paraId="06B7F87A" w14:textId="77777777" w:rsidTr="00AD4351">
        <w:trPr>
          <w:trHeight w:val="20"/>
        </w:trPr>
        <w:tc>
          <w:tcPr>
            <w:tcW w:w="5850" w:type="dxa"/>
            <w:vAlign w:val="center"/>
          </w:tcPr>
          <w:p w14:paraId="06B7F878" w14:textId="77777777" w:rsidR="000C2F7D" w:rsidRDefault="000C2F7D" w:rsidP="00AD4351">
            <w:pPr>
              <w:pStyle w:val="spTable"/>
              <w:jc w:val="left"/>
            </w:pPr>
            <w:r>
              <w:t>Infrared Spectrum, Vehicle</w:t>
            </w:r>
            <w:r w:rsidRPr="00EC1314">
              <w:rPr>
                <w:i/>
                <w:vertAlign w:val="superscript"/>
              </w:rPr>
              <w:t>[2]</w:t>
            </w:r>
          </w:p>
        </w:tc>
        <w:tc>
          <w:tcPr>
            <w:tcW w:w="3150" w:type="dxa"/>
            <w:gridSpan w:val="2"/>
            <w:vAlign w:val="center"/>
          </w:tcPr>
          <w:p w14:paraId="06B7F879" w14:textId="77777777" w:rsidR="000C2F7D" w:rsidRDefault="000C2F7D" w:rsidP="00AD4351">
            <w:pPr>
              <w:pStyle w:val="spTable"/>
              <w:jc w:val="left"/>
            </w:pPr>
            <w:r>
              <w:t>100% alpha-methylstryrene</w:t>
            </w:r>
          </w:p>
        </w:tc>
      </w:tr>
    </w:tbl>
    <w:p w14:paraId="06B7F87B" w14:textId="77777777" w:rsidR="000C2F7D" w:rsidRPr="00EC1314" w:rsidRDefault="000C2F7D" w:rsidP="000C2F7D">
      <w:pPr>
        <w:pStyle w:val="spParagraph"/>
      </w:pPr>
      <w:r w:rsidRPr="00EC1314">
        <w:t>Shelf life of the product shall be 6 months from date of manufacture. The product may be re</w:t>
      </w:r>
      <w:r>
        <w:t>-</w:t>
      </w:r>
      <w:r w:rsidRPr="00EC1314">
        <w:t>tested by the department’s Materials Testing Lab and re</w:t>
      </w:r>
      <w:r>
        <w:t>-</w:t>
      </w:r>
      <w:r w:rsidRPr="00EC1314">
        <w:t>approved, if the physical and chemical properties have not changed, for an additional six months. However, the maximum shelf life shall not exceed one year from manufacture date.</w:t>
      </w:r>
    </w:p>
    <w:p w14:paraId="06B7F87C" w14:textId="77777777" w:rsidR="000C2F7D" w:rsidRPr="00E72D69" w:rsidRDefault="000C2F7D" w:rsidP="000C2F7D">
      <w:pPr>
        <w:pStyle w:val="spParagraph"/>
        <w:rPr>
          <w:rStyle w:val="spHeading"/>
        </w:rPr>
      </w:pPr>
      <w:r w:rsidRPr="00E72D69">
        <w:rPr>
          <w:rStyle w:val="spHeading"/>
        </w:rPr>
        <w:t>C  Construction</w:t>
      </w:r>
    </w:p>
    <w:p w14:paraId="06B7F87D" w14:textId="77777777" w:rsidR="000C2F7D" w:rsidRPr="00A04E79" w:rsidRDefault="000C2F7D" w:rsidP="000C2F7D">
      <w:pPr>
        <w:pStyle w:val="spParagraph"/>
        <w:rPr>
          <w:rStyle w:val="spHeading"/>
        </w:rPr>
      </w:pPr>
      <w:r w:rsidRPr="00A04E79">
        <w:rPr>
          <w:rStyle w:val="spHeading"/>
        </w:rPr>
        <w:t>C.1  Removing Raised Pavement Marker</w:t>
      </w:r>
    </w:p>
    <w:p w14:paraId="06B7F87E" w14:textId="77777777" w:rsidR="000C2F7D" w:rsidRPr="00A04E79" w:rsidRDefault="000C2F7D" w:rsidP="000C2F7D">
      <w:pPr>
        <w:pStyle w:val="spParagraph"/>
      </w:pPr>
      <w:r w:rsidRPr="00A04E79">
        <w:t>Sand blast or use other approved method to completely remove the raised pavement marker, epoxy and other construction material from the existing slot.</w:t>
      </w:r>
    </w:p>
    <w:p w14:paraId="06B7F87F" w14:textId="77777777" w:rsidR="000C2F7D" w:rsidRPr="00A04E79" w:rsidRDefault="000C2F7D" w:rsidP="000C2F7D">
      <w:pPr>
        <w:pStyle w:val="spParagraph"/>
      </w:pPr>
      <w:r w:rsidRPr="00A04E79">
        <w:t>Remove pavement marker and any epoxy or other construction material from the existing saw cut area.</w:t>
      </w:r>
    </w:p>
    <w:p w14:paraId="06B7F880" w14:textId="77777777" w:rsidR="000C2F7D" w:rsidRPr="00A04E79" w:rsidRDefault="000C2F7D" w:rsidP="000C2F7D">
      <w:pPr>
        <w:pStyle w:val="spParagraph"/>
        <w:rPr>
          <w:rStyle w:val="spHeading"/>
        </w:rPr>
      </w:pPr>
      <w:r w:rsidRPr="00A04E79">
        <w:rPr>
          <w:rStyle w:val="spHeading"/>
        </w:rPr>
        <w:t>C.2  Placing Patch Mix</w:t>
      </w:r>
    </w:p>
    <w:p w14:paraId="06B7F881" w14:textId="77777777" w:rsidR="000C2F7D" w:rsidRPr="00A04E79" w:rsidRDefault="000C2F7D" w:rsidP="000C2F7D">
      <w:pPr>
        <w:pStyle w:val="spParagraph"/>
      </w:pPr>
      <w:r w:rsidRPr="00A04E79">
        <w:t xml:space="preserve">Immediately </w:t>
      </w:r>
      <w:r>
        <w:t>before</w:t>
      </w:r>
      <w:r w:rsidRPr="00A04E79">
        <w:t xml:space="preserve"> placing the patch mix, moisten existing concrete surfaces in the slot or prepare the existing concrete surfaces as recommended by the manufacturer, or both. Before patching material is placed, remove all excess water in the slot.</w:t>
      </w:r>
    </w:p>
    <w:p w14:paraId="06B7F882" w14:textId="77777777" w:rsidR="000C2F7D" w:rsidRPr="00A04E79" w:rsidRDefault="000C2F7D" w:rsidP="000C2F7D">
      <w:pPr>
        <w:pStyle w:val="spParagraph"/>
      </w:pPr>
      <w:r w:rsidRPr="00A04E79">
        <w:t>With a portable or mobile mixer, mix patching material according to the manufacturer’s recommendations.</w:t>
      </w:r>
    </w:p>
    <w:p w14:paraId="06B7F883" w14:textId="77777777" w:rsidR="000C2F7D" w:rsidRPr="00A04E79" w:rsidRDefault="000C2F7D" w:rsidP="000C2F7D">
      <w:pPr>
        <w:pStyle w:val="spParagraph"/>
      </w:pPr>
      <w:r w:rsidRPr="00A04E79">
        <w:t>Place the patching material into the slot and vibrate the patching material. The diameter of the vibrator head shall not exceed 1 1/4</w:t>
      </w:r>
      <w:r>
        <w:t>-</w:t>
      </w:r>
      <w:r w:rsidRPr="00A04E79">
        <w:t>inc</w:t>
      </w:r>
      <w:r>
        <w:t>hes</w:t>
      </w:r>
      <w:r w:rsidRPr="00A04E79">
        <w:t>.</w:t>
      </w:r>
    </w:p>
    <w:p w14:paraId="06B7F884" w14:textId="77777777" w:rsidR="000C2F7D" w:rsidRPr="00A04E79" w:rsidRDefault="000C2F7D" w:rsidP="000C2F7D">
      <w:pPr>
        <w:pStyle w:val="spParagraph"/>
      </w:pPr>
      <w:r w:rsidRPr="00A04E79">
        <w:lastRenderedPageBreak/>
        <w:t>When the ambient temperature is below 50 degrees Fahrenheit (10 degrees Celsius), placement of patching material will require prior approval by the engineer.</w:t>
      </w:r>
    </w:p>
    <w:p w14:paraId="06B7F885" w14:textId="77777777" w:rsidR="000C2F7D" w:rsidRPr="00A04E79" w:rsidRDefault="000C2F7D" w:rsidP="000C2F7D">
      <w:pPr>
        <w:pStyle w:val="spParagraph"/>
      </w:pPr>
      <w:r w:rsidRPr="00A04E79">
        <w:t>If the pavement is not going to be diamond ground, strike</w:t>
      </w:r>
      <w:r>
        <w:t>-</w:t>
      </w:r>
      <w:r w:rsidRPr="00A04E79">
        <w:t>off the surface of the filled area flush with the adjacent concrete. If the pavement is to be diamond ground after completion of the dowel bar retrofit operation, it is acceptable to leave the slot slightly overfilled.</w:t>
      </w:r>
    </w:p>
    <w:p w14:paraId="06B7F886" w14:textId="77777777" w:rsidR="000C2F7D" w:rsidRPr="00A04E79" w:rsidRDefault="000C2F7D" w:rsidP="000C2F7D">
      <w:pPr>
        <w:pStyle w:val="spParagraph"/>
      </w:pPr>
      <w:r w:rsidRPr="00A04E79">
        <w:t>Before placing any vehicle load on the patched area, cure patching material by the impervious coating method for a minimum of three hours. The coverage rate for the curing agent will be at a rate of 100 square feet per gallon. During this three</w:t>
      </w:r>
      <w:r>
        <w:t>-</w:t>
      </w:r>
      <w:r w:rsidRPr="00A04E79">
        <w:t>hour initial curing period, covering may be needed to prevent excess thermal stress in the patch material.</w:t>
      </w:r>
    </w:p>
    <w:p w14:paraId="06B7F887" w14:textId="77777777" w:rsidR="000C2F7D" w:rsidRPr="00A04E79" w:rsidRDefault="000C2F7D" w:rsidP="000C2F7D">
      <w:pPr>
        <w:pStyle w:val="spParagraph"/>
      </w:pPr>
      <w:r w:rsidRPr="00A04E79">
        <w:t>When the ambient temperature is below 50 degrees Fahrenheit (10 degrees C), the engineer may postpone opening to vehicular loads or require covering during the initial curing period, or both.</w:t>
      </w:r>
    </w:p>
    <w:p w14:paraId="06B7F888" w14:textId="77777777" w:rsidR="000C2F7D" w:rsidRPr="00A04E79" w:rsidRDefault="000C2F7D" w:rsidP="000C2F7D">
      <w:pPr>
        <w:pStyle w:val="spParagraph"/>
      </w:pPr>
      <w:r w:rsidRPr="00A04E79">
        <w:t>Remove existing pavement marker casting. Clean, dry and epoxy existing saw cut area.</w:t>
      </w:r>
    </w:p>
    <w:p w14:paraId="06B7F889" w14:textId="77777777" w:rsidR="000C2F7D" w:rsidRPr="00A04E79" w:rsidRDefault="000C2F7D" w:rsidP="000C2F7D">
      <w:pPr>
        <w:pStyle w:val="spParagraph"/>
        <w:rPr>
          <w:rStyle w:val="spHeading"/>
        </w:rPr>
      </w:pPr>
      <w:r w:rsidRPr="00A04E79">
        <w:rPr>
          <w:rStyle w:val="spHeading"/>
        </w:rPr>
        <w:t>D  Measurement</w:t>
      </w:r>
    </w:p>
    <w:p w14:paraId="06B7F88A" w14:textId="77777777" w:rsidR="000C2F7D" w:rsidRPr="00A04E79" w:rsidRDefault="000C2F7D" w:rsidP="000C2F7D">
      <w:pPr>
        <w:pStyle w:val="spParagraph"/>
      </w:pPr>
      <w:r w:rsidRPr="00A04E79">
        <w:t>The department will measure Removing Raised Pavement Markers by the individual casting acceptably removed and filled with concrete patch material.</w:t>
      </w:r>
    </w:p>
    <w:p w14:paraId="06B7F88B" w14:textId="77777777" w:rsidR="000C2F7D" w:rsidRPr="00A04E79" w:rsidRDefault="000C2F7D" w:rsidP="000C2F7D">
      <w:pPr>
        <w:pStyle w:val="spParagraph"/>
        <w:rPr>
          <w:rStyle w:val="spHeading"/>
        </w:rPr>
      </w:pPr>
      <w:r w:rsidRPr="00A04E79">
        <w:rPr>
          <w:rStyle w:val="spHeading"/>
        </w:rPr>
        <w:t>E  Payment</w:t>
      </w:r>
    </w:p>
    <w:p w14:paraId="06B7F88C" w14:textId="77777777" w:rsidR="000C2F7D" w:rsidRPr="00A04E79" w:rsidRDefault="000C2F7D" w:rsidP="000C2F7D">
      <w:pPr>
        <w:pStyle w:val="spParagraph"/>
      </w:pPr>
      <w:r w:rsidRPr="00A04E79">
        <w:t>The department will pay for the measured quantity at the contract unit price under the following bid item:</w:t>
      </w:r>
    </w:p>
    <w:p w14:paraId="06B7F88D" w14:textId="77777777" w:rsidR="000C2F7D" w:rsidRPr="00A04E79" w:rsidRDefault="000C2F7D" w:rsidP="000C2F7D">
      <w:pPr>
        <w:pStyle w:val="ssBidItem"/>
      </w:pPr>
      <w:r w:rsidRPr="00A04E79">
        <w:t>ITEM NUMBER</w:t>
      </w:r>
      <w:r w:rsidRPr="00A04E79">
        <w:tab/>
        <w:t>DESCRIPTION</w:t>
      </w:r>
      <w:r w:rsidRPr="00A04E79">
        <w:tab/>
        <w:t>UNIT</w:t>
      </w:r>
    </w:p>
    <w:p w14:paraId="06B7F88E" w14:textId="77777777" w:rsidR="000C2F7D" w:rsidRPr="00A04E79" w:rsidRDefault="000C2F7D" w:rsidP="000C2F7D">
      <w:pPr>
        <w:pStyle w:val="ssBidItem"/>
      </w:pPr>
      <w:r w:rsidRPr="00A04E79">
        <w:t>SPV.0060.</w:t>
      </w:r>
      <w:r>
        <w:fldChar w:fldCharType="begin">
          <w:ffData>
            <w:name w:val="Text326"/>
            <w:enabled/>
            <w:calcOnExit w:val="0"/>
            <w:textInput>
              <w:default w:val="##"/>
            </w:textInput>
          </w:ffData>
        </w:fldChar>
      </w:r>
      <w:bookmarkStart w:id="1" w:name="Text326"/>
      <w:r>
        <w:instrText xml:space="preserve"> FORMTEXT </w:instrText>
      </w:r>
      <w:r>
        <w:fldChar w:fldCharType="separate"/>
      </w:r>
      <w:r>
        <w:t>##</w:t>
      </w:r>
      <w:r>
        <w:fldChar w:fldCharType="end"/>
      </w:r>
      <w:bookmarkEnd w:id="1"/>
      <w:r w:rsidRPr="00A04E79">
        <w:tab/>
        <w:t>Removing Raised Pavement Markers</w:t>
      </w:r>
      <w:r w:rsidRPr="00A04E79">
        <w:tab/>
        <w:t>EACH</w:t>
      </w:r>
    </w:p>
    <w:p w14:paraId="06B7F88F" w14:textId="77777777" w:rsidR="000C2F7D" w:rsidRDefault="000C2F7D" w:rsidP="000C2F7D">
      <w:pPr>
        <w:pStyle w:val="spParagraph"/>
      </w:pPr>
      <w:r>
        <w:t>Payment for Removing Raised Pavement Markers is full compensation for removing, hauling, and disposing of materials; cleaning existing saw cut areas; and for furnishing and placing concrete patch material.</w:t>
      </w:r>
    </w:p>
    <w:p w14:paraId="06B7F890" w14:textId="115F78F6" w:rsidR="00295C3F" w:rsidRDefault="00295C3F" w:rsidP="00295C3F">
      <w:pPr>
        <w:pStyle w:val="spVersion"/>
      </w:pPr>
      <w:r>
        <w:t>ner-646-035 (201</w:t>
      </w:r>
      <w:r w:rsidR="004D1418">
        <w:t>71213</w:t>
      </w:r>
      <w:bookmarkStart w:id="2" w:name="_GoBack"/>
      <w:bookmarkEnd w:id="2"/>
      <w:r>
        <w:t>)</w:t>
      </w:r>
    </w:p>
    <w:sectPr w:rsidR="00295C3F"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F8A5" w14:textId="77777777" w:rsidR="000846C5" w:rsidRDefault="000846C5">
      <w:r>
        <w:separator/>
      </w:r>
    </w:p>
    <w:p w14:paraId="06B7F8A6" w14:textId="77777777" w:rsidR="000846C5" w:rsidRDefault="000846C5"/>
    <w:p w14:paraId="06B7F8A7" w14:textId="77777777" w:rsidR="000846C5" w:rsidRDefault="000846C5"/>
    <w:p w14:paraId="06B7F8A8" w14:textId="77777777" w:rsidR="000846C5" w:rsidRDefault="000846C5"/>
    <w:p w14:paraId="06B7F8A9" w14:textId="77777777" w:rsidR="000846C5" w:rsidRDefault="000846C5"/>
    <w:p w14:paraId="06B7F8AA" w14:textId="77777777" w:rsidR="000846C5" w:rsidRDefault="000846C5"/>
    <w:p w14:paraId="06B7F8AB" w14:textId="77777777" w:rsidR="000846C5" w:rsidRDefault="000846C5"/>
    <w:p w14:paraId="06B7F8AC" w14:textId="77777777" w:rsidR="000846C5" w:rsidRDefault="000846C5"/>
    <w:p w14:paraId="06B7F8AD" w14:textId="77777777" w:rsidR="000846C5" w:rsidRDefault="000846C5"/>
  </w:endnote>
  <w:endnote w:type="continuationSeparator" w:id="0">
    <w:p w14:paraId="06B7F8AE" w14:textId="77777777" w:rsidR="000846C5" w:rsidRDefault="000846C5">
      <w:r>
        <w:continuationSeparator/>
      </w:r>
    </w:p>
    <w:p w14:paraId="06B7F8AF" w14:textId="77777777" w:rsidR="000846C5" w:rsidRDefault="000846C5"/>
    <w:p w14:paraId="06B7F8B0" w14:textId="77777777" w:rsidR="000846C5" w:rsidRDefault="000846C5"/>
    <w:p w14:paraId="06B7F8B1" w14:textId="77777777" w:rsidR="000846C5" w:rsidRDefault="000846C5"/>
    <w:p w14:paraId="06B7F8B2" w14:textId="77777777" w:rsidR="000846C5" w:rsidRDefault="000846C5"/>
    <w:p w14:paraId="06B7F8B3" w14:textId="77777777" w:rsidR="000846C5" w:rsidRDefault="000846C5"/>
    <w:p w14:paraId="06B7F8B4" w14:textId="77777777" w:rsidR="000846C5" w:rsidRDefault="000846C5"/>
    <w:p w14:paraId="06B7F8B5" w14:textId="77777777" w:rsidR="000846C5" w:rsidRDefault="000846C5"/>
    <w:p w14:paraId="06B7F8B6" w14:textId="77777777" w:rsidR="000846C5" w:rsidRDefault="000846C5"/>
  </w:endnote>
  <w:endnote w:type="continuationNotice" w:id="1">
    <w:p w14:paraId="06B7F8B7" w14:textId="77777777" w:rsidR="000846C5" w:rsidRDefault="000846C5"/>
    <w:p w14:paraId="06B7F8B8" w14:textId="77777777" w:rsidR="000846C5" w:rsidRDefault="00084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F8BB" w14:textId="77777777" w:rsidR="006F1499" w:rsidRDefault="006F1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F8BC" w14:textId="63A77247"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4D1418">
          <w:rPr>
            <w:noProof/>
          </w:rPr>
          <w:t>1</w:t>
        </w:r>
        <w:r>
          <w:rPr>
            <w:noProof/>
          </w:rPr>
          <w:fldChar w:fldCharType="end"/>
        </w:r>
        <w:r>
          <w:t xml:space="preserve"> of </w:t>
        </w:r>
        <w:r w:rsidR="004D1418">
          <w:fldChar w:fldCharType="begin"/>
        </w:r>
        <w:r w:rsidR="004D1418">
          <w:instrText xml:space="preserve"> NUMPAGES  </w:instrText>
        </w:r>
        <w:r w:rsidR="004D1418">
          <w:fldChar w:fldCharType="separate"/>
        </w:r>
        <w:r w:rsidR="004D1418">
          <w:rPr>
            <w:noProof/>
          </w:rPr>
          <w:t>2</w:t>
        </w:r>
        <w:r w:rsidR="004D141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F8BE" w14:textId="77777777" w:rsidR="006F1499" w:rsidRDefault="006F1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7F891" w14:textId="77777777" w:rsidR="000846C5" w:rsidRDefault="000846C5">
      <w:r>
        <w:separator/>
      </w:r>
    </w:p>
    <w:p w14:paraId="06B7F892" w14:textId="77777777" w:rsidR="000846C5" w:rsidRDefault="000846C5"/>
    <w:p w14:paraId="06B7F893" w14:textId="77777777" w:rsidR="000846C5" w:rsidRDefault="000846C5"/>
    <w:p w14:paraId="06B7F894" w14:textId="77777777" w:rsidR="000846C5" w:rsidRDefault="000846C5"/>
    <w:p w14:paraId="06B7F895" w14:textId="77777777" w:rsidR="000846C5" w:rsidRDefault="000846C5"/>
    <w:p w14:paraId="06B7F896" w14:textId="77777777" w:rsidR="000846C5" w:rsidRDefault="000846C5"/>
    <w:p w14:paraId="06B7F897" w14:textId="77777777" w:rsidR="000846C5" w:rsidRDefault="000846C5"/>
    <w:p w14:paraId="06B7F898" w14:textId="77777777" w:rsidR="000846C5" w:rsidRDefault="000846C5"/>
    <w:p w14:paraId="06B7F899" w14:textId="77777777" w:rsidR="000846C5" w:rsidRDefault="000846C5"/>
  </w:footnote>
  <w:footnote w:type="continuationSeparator" w:id="0">
    <w:p w14:paraId="06B7F89A" w14:textId="77777777" w:rsidR="000846C5" w:rsidRDefault="000846C5">
      <w:r>
        <w:continuationSeparator/>
      </w:r>
    </w:p>
    <w:p w14:paraId="06B7F89B" w14:textId="77777777" w:rsidR="000846C5" w:rsidRDefault="000846C5"/>
    <w:p w14:paraId="06B7F89C" w14:textId="77777777" w:rsidR="000846C5" w:rsidRDefault="000846C5"/>
    <w:p w14:paraId="06B7F89D" w14:textId="77777777" w:rsidR="000846C5" w:rsidRDefault="000846C5"/>
    <w:p w14:paraId="06B7F89E" w14:textId="77777777" w:rsidR="000846C5" w:rsidRDefault="000846C5"/>
    <w:p w14:paraId="06B7F89F" w14:textId="77777777" w:rsidR="000846C5" w:rsidRDefault="000846C5"/>
    <w:p w14:paraId="06B7F8A0" w14:textId="77777777" w:rsidR="000846C5" w:rsidRDefault="000846C5"/>
    <w:p w14:paraId="06B7F8A1" w14:textId="77777777" w:rsidR="000846C5" w:rsidRDefault="000846C5"/>
    <w:p w14:paraId="06B7F8A2" w14:textId="77777777" w:rsidR="000846C5" w:rsidRDefault="000846C5"/>
  </w:footnote>
  <w:footnote w:type="continuationNotice" w:id="1">
    <w:p w14:paraId="06B7F8A3" w14:textId="77777777" w:rsidR="000846C5" w:rsidRDefault="000846C5"/>
    <w:p w14:paraId="06B7F8A4" w14:textId="77777777" w:rsidR="000846C5" w:rsidRDefault="00084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F8B9" w14:textId="77777777" w:rsidR="006F1499" w:rsidRDefault="006F1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F8BA" w14:textId="77777777" w:rsidR="006F1499" w:rsidRDefault="006F1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F8BD" w14:textId="77777777" w:rsidR="00295C3F" w:rsidRDefault="00295C3F" w:rsidP="00295C3F">
    <w:pPr>
      <w:pStyle w:val="Header"/>
    </w:pPr>
    <w:r>
      <w:t>Use this article when retrofitting dowels or when there is no overlay. Coordinate with Pavement Engineer before 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7D"/>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46C5"/>
    <w:rsid w:val="00085D86"/>
    <w:rsid w:val="00093EE3"/>
    <w:rsid w:val="000B29D1"/>
    <w:rsid w:val="000B2D96"/>
    <w:rsid w:val="000B6EC1"/>
    <w:rsid w:val="000B77FC"/>
    <w:rsid w:val="000B780E"/>
    <w:rsid w:val="000B7F6B"/>
    <w:rsid w:val="000C2F7D"/>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95C3F"/>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1418"/>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1FFD"/>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1499"/>
    <w:rsid w:val="006F5824"/>
    <w:rsid w:val="00704860"/>
    <w:rsid w:val="00705025"/>
    <w:rsid w:val="00706482"/>
    <w:rsid w:val="0070676E"/>
    <w:rsid w:val="00710C8F"/>
    <w:rsid w:val="007141FB"/>
    <w:rsid w:val="00721D1C"/>
    <w:rsid w:val="0072217D"/>
    <w:rsid w:val="00722AF3"/>
    <w:rsid w:val="0072389A"/>
    <w:rsid w:val="0072722D"/>
    <w:rsid w:val="0072749F"/>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874A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B7F851"/>
  <w15:docId w15:val="{891F1CBE-F1FA-4292-BA79-39390C15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4D1418"/>
  </w:style>
  <w:style w:type="paragraph" w:styleId="Heading1">
    <w:name w:val="heading 1"/>
    <w:basedOn w:val="Normal"/>
    <w:next w:val="Normal"/>
    <w:link w:val="Heading1Char"/>
    <w:uiPriority w:val="99"/>
    <w:semiHidden/>
    <w:rsid w:val="004D1418"/>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4D1418"/>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4D1418"/>
    <w:pPr>
      <w:outlineLvl w:val="2"/>
    </w:pPr>
    <w:rPr>
      <w:rFonts w:eastAsiaTheme="majorEastAsia" w:cstheme="majorBidi"/>
      <w:b/>
      <w:bCs/>
    </w:rPr>
  </w:style>
  <w:style w:type="paragraph" w:styleId="Heading4">
    <w:name w:val="heading 4"/>
    <w:basedOn w:val="Normal"/>
    <w:next w:val="Normal"/>
    <w:link w:val="Heading4Char"/>
    <w:uiPriority w:val="99"/>
    <w:semiHidden/>
    <w:rsid w:val="004D1418"/>
    <w:pPr>
      <w:outlineLvl w:val="3"/>
    </w:pPr>
    <w:rPr>
      <w:rFonts w:eastAsiaTheme="majorEastAsia" w:cstheme="majorBidi"/>
      <w:b/>
      <w:iCs/>
    </w:rPr>
  </w:style>
  <w:style w:type="paragraph" w:styleId="Heading5">
    <w:name w:val="heading 5"/>
    <w:basedOn w:val="Normal"/>
    <w:next w:val="Normal"/>
    <w:link w:val="Heading5Char"/>
    <w:uiPriority w:val="99"/>
    <w:semiHidden/>
    <w:rsid w:val="004D1418"/>
    <w:pPr>
      <w:outlineLvl w:val="4"/>
    </w:pPr>
    <w:rPr>
      <w:rFonts w:eastAsiaTheme="majorEastAsia" w:cstheme="majorBidi"/>
      <w:b/>
    </w:rPr>
  </w:style>
  <w:style w:type="paragraph" w:styleId="Heading6">
    <w:name w:val="heading 6"/>
    <w:basedOn w:val="Normal"/>
    <w:next w:val="Normal"/>
    <w:link w:val="Heading6Char"/>
    <w:uiPriority w:val="99"/>
    <w:semiHidden/>
    <w:rsid w:val="004D1418"/>
    <w:pPr>
      <w:outlineLvl w:val="5"/>
    </w:pPr>
    <w:rPr>
      <w:rFonts w:eastAsiaTheme="majorEastAsia" w:cstheme="majorBidi"/>
      <w:b/>
    </w:rPr>
  </w:style>
  <w:style w:type="paragraph" w:styleId="Heading7">
    <w:name w:val="heading 7"/>
    <w:basedOn w:val="Normal"/>
    <w:next w:val="Normal"/>
    <w:link w:val="Heading7Char"/>
    <w:uiPriority w:val="99"/>
    <w:semiHidden/>
    <w:rsid w:val="004D1418"/>
    <w:pPr>
      <w:outlineLvl w:val="6"/>
    </w:pPr>
    <w:rPr>
      <w:rFonts w:eastAsiaTheme="majorEastAsia" w:cstheme="majorBidi"/>
      <w:b/>
      <w:iCs/>
    </w:rPr>
  </w:style>
  <w:style w:type="paragraph" w:styleId="Heading8">
    <w:name w:val="heading 8"/>
    <w:basedOn w:val="Normal"/>
    <w:next w:val="Normal"/>
    <w:link w:val="Heading8Char"/>
    <w:uiPriority w:val="99"/>
    <w:semiHidden/>
    <w:rsid w:val="004D1418"/>
    <w:pPr>
      <w:outlineLvl w:val="7"/>
    </w:pPr>
    <w:rPr>
      <w:rFonts w:eastAsiaTheme="majorEastAsia" w:cstheme="majorBidi"/>
      <w:b/>
      <w:szCs w:val="21"/>
    </w:rPr>
  </w:style>
  <w:style w:type="paragraph" w:styleId="Heading9">
    <w:name w:val="heading 9"/>
    <w:basedOn w:val="Normal"/>
    <w:next w:val="Normal"/>
    <w:link w:val="Heading9Char"/>
    <w:uiPriority w:val="99"/>
    <w:semiHidden/>
    <w:rsid w:val="004D1418"/>
    <w:pPr>
      <w:outlineLvl w:val="8"/>
    </w:pPr>
    <w:rPr>
      <w:rFonts w:eastAsiaTheme="majorEastAsia" w:cstheme="majorBidi"/>
      <w:b/>
      <w:iCs/>
      <w:szCs w:val="21"/>
    </w:rPr>
  </w:style>
  <w:style w:type="character" w:default="1" w:styleId="DefaultParagraphFont">
    <w:name w:val="Default Paragraph Font"/>
    <w:uiPriority w:val="1"/>
    <w:semiHidden/>
    <w:unhideWhenUsed/>
    <w:rsid w:val="004D14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1418"/>
  </w:style>
  <w:style w:type="character" w:customStyle="1" w:styleId="Heading1Char">
    <w:name w:val="Heading 1 Char"/>
    <w:basedOn w:val="DefaultParagraphFont"/>
    <w:link w:val="Heading1"/>
    <w:uiPriority w:val="99"/>
    <w:semiHidden/>
    <w:rsid w:val="004D1418"/>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4D1418"/>
    <w:rPr>
      <w:rFonts w:eastAsiaTheme="majorEastAsia" w:cstheme="majorBidi"/>
      <w:b/>
      <w:bCs/>
      <w:szCs w:val="26"/>
    </w:rPr>
  </w:style>
  <w:style w:type="character" w:customStyle="1" w:styleId="Heading3Char">
    <w:name w:val="Heading 3 Char"/>
    <w:basedOn w:val="DefaultParagraphFont"/>
    <w:link w:val="Heading3"/>
    <w:uiPriority w:val="99"/>
    <w:semiHidden/>
    <w:rsid w:val="004D1418"/>
    <w:rPr>
      <w:rFonts w:eastAsiaTheme="majorEastAsia" w:cstheme="majorBidi"/>
      <w:b/>
      <w:bCs/>
    </w:rPr>
  </w:style>
  <w:style w:type="paragraph" w:styleId="TOCHeading">
    <w:name w:val="TOC Heading"/>
    <w:basedOn w:val="Heading1"/>
    <w:next w:val="Normal"/>
    <w:uiPriority w:val="99"/>
    <w:semiHidden/>
    <w:unhideWhenUsed/>
    <w:qFormat/>
    <w:rsid w:val="004D1418"/>
    <w:pPr>
      <w:outlineLvl w:val="9"/>
    </w:pPr>
  </w:style>
  <w:style w:type="paragraph" w:styleId="BalloonText">
    <w:name w:val="Balloon Text"/>
    <w:basedOn w:val="Normal"/>
    <w:link w:val="BalloonTextChar"/>
    <w:uiPriority w:val="99"/>
    <w:semiHidden/>
    <w:unhideWhenUsed/>
    <w:rsid w:val="004D1418"/>
    <w:rPr>
      <w:rFonts w:ascii="Tahoma" w:hAnsi="Tahoma" w:cs="Tahoma"/>
      <w:sz w:val="16"/>
      <w:szCs w:val="16"/>
    </w:rPr>
  </w:style>
  <w:style w:type="character" w:customStyle="1" w:styleId="BalloonTextChar">
    <w:name w:val="Balloon Text Char"/>
    <w:basedOn w:val="DefaultParagraphFont"/>
    <w:link w:val="BalloonText"/>
    <w:uiPriority w:val="99"/>
    <w:semiHidden/>
    <w:rsid w:val="004D1418"/>
    <w:rPr>
      <w:rFonts w:ascii="Tahoma" w:hAnsi="Tahoma" w:cs="Tahoma"/>
      <w:sz w:val="16"/>
      <w:szCs w:val="16"/>
    </w:rPr>
  </w:style>
  <w:style w:type="paragraph" w:styleId="Footer">
    <w:name w:val="footer"/>
    <w:basedOn w:val="Normal"/>
    <w:link w:val="FooterChar"/>
    <w:uiPriority w:val="99"/>
    <w:semiHidden/>
    <w:rsid w:val="004D1418"/>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4D1418"/>
    <w:rPr>
      <w:sz w:val="18"/>
    </w:rPr>
  </w:style>
  <w:style w:type="paragraph" w:styleId="TOC1">
    <w:name w:val="toc 1"/>
    <w:basedOn w:val="Normal"/>
    <w:next w:val="Normal"/>
    <w:autoRedefine/>
    <w:uiPriority w:val="99"/>
    <w:semiHidden/>
    <w:qFormat/>
    <w:rsid w:val="004D1418"/>
    <w:pPr>
      <w:tabs>
        <w:tab w:val="right" w:leader="dot" w:pos="9288"/>
      </w:tabs>
      <w:ind w:hanging="720"/>
    </w:pPr>
  </w:style>
  <w:style w:type="paragraph" w:customStyle="1" w:styleId="1Heading1">
    <w:name w:val="1 Heading 1"/>
    <w:basedOn w:val="Normal"/>
    <w:link w:val="1Heading1Char"/>
    <w:uiPriority w:val="1"/>
    <w:qFormat/>
    <w:rsid w:val="004D1418"/>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4D1418"/>
    <w:rPr>
      <w:color w:val="0000FF" w:themeColor="hyperlink"/>
      <w:u w:val="single"/>
    </w:rPr>
  </w:style>
  <w:style w:type="character" w:styleId="PlaceholderText">
    <w:name w:val="Placeholder Text"/>
    <w:basedOn w:val="DefaultParagraphFont"/>
    <w:uiPriority w:val="99"/>
    <w:semiHidden/>
    <w:rsid w:val="004D1418"/>
    <w:rPr>
      <w:b/>
      <w:i/>
      <w:color w:val="C00000"/>
      <w:u w:val="single"/>
    </w:rPr>
  </w:style>
  <w:style w:type="table" w:styleId="TableGrid">
    <w:name w:val="Table Grid"/>
    <w:basedOn w:val="TableNormal"/>
    <w:uiPriority w:val="59"/>
    <w:rsid w:val="004D141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4D141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4D1418"/>
    <w:rPr>
      <w:rFonts w:ascii="Courier New" w:eastAsia="Times New Roman" w:hAnsi="Courier New"/>
    </w:rPr>
  </w:style>
  <w:style w:type="paragraph" w:styleId="BodyTextIndent">
    <w:name w:val="Body Text Indent"/>
    <w:basedOn w:val="Normal"/>
    <w:link w:val="BodyTextIndentChar"/>
    <w:uiPriority w:val="99"/>
    <w:semiHidden/>
    <w:rsid w:val="004D141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4D1418"/>
    <w:rPr>
      <w:rFonts w:eastAsia="Times New Roman"/>
      <w:spacing w:val="-2"/>
    </w:rPr>
  </w:style>
  <w:style w:type="table" w:styleId="TableGrid1">
    <w:name w:val="Table Grid 1"/>
    <w:basedOn w:val="TableNormal"/>
    <w:uiPriority w:val="99"/>
    <w:semiHidden/>
    <w:unhideWhenUsed/>
    <w:rsid w:val="004D141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4D1418"/>
    <w:pPr>
      <w:numPr>
        <w:numId w:val="25"/>
      </w:numPr>
    </w:pPr>
  </w:style>
  <w:style w:type="paragraph" w:styleId="DocumentMap">
    <w:name w:val="Document Map"/>
    <w:basedOn w:val="Normal"/>
    <w:link w:val="DocumentMapChar"/>
    <w:uiPriority w:val="99"/>
    <w:semiHidden/>
    <w:unhideWhenUsed/>
    <w:rsid w:val="004D1418"/>
    <w:rPr>
      <w:rFonts w:ascii="Tahoma" w:hAnsi="Tahoma" w:cs="Tahoma"/>
      <w:sz w:val="16"/>
      <w:szCs w:val="16"/>
    </w:rPr>
  </w:style>
  <w:style w:type="character" w:customStyle="1" w:styleId="DocumentMapChar">
    <w:name w:val="Document Map Char"/>
    <w:basedOn w:val="DefaultParagraphFont"/>
    <w:link w:val="DocumentMap"/>
    <w:uiPriority w:val="99"/>
    <w:semiHidden/>
    <w:rsid w:val="004D1418"/>
    <w:rPr>
      <w:rFonts w:ascii="Tahoma" w:hAnsi="Tahoma" w:cs="Tahoma"/>
      <w:sz w:val="16"/>
      <w:szCs w:val="16"/>
    </w:rPr>
  </w:style>
  <w:style w:type="paragraph" w:customStyle="1" w:styleId="ssBidItem">
    <w:name w:val="ssBidItem"/>
    <w:basedOn w:val="spParagraph"/>
    <w:uiPriority w:val="9"/>
    <w:rsid w:val="004D1418"/>
    <w:pPr>
      <w:tabs>
        <w:tab w:val="left" w:pos="1584"/>
        <w:tab w:val="right" w:pos="9360"/>
      </w:tabs>
      <w:spacing w:before="60" w:after="60"/>
    </w:pPr>
    <w:rPr>
      <w:rFonts w:eastAsia="Times New Roman"/>
      <w:sz w:val="18"/>
      <w:szCs w:val="20"/>
    </w:rPr>
  </w:style>
  <w:style w:type="paragraph" w:customStyle="1" w:styleId="wiComment">
    <w:name w:val="wiComment"/>
    <w:basedOn w:val="spSmall"/>
    <w:rsid w:val="004D1418"/>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4D1418"/>
    <w:pPr>
      <w:spacing w:after="0"/>
    </w:pPr>
    <w:rPr>
      <w:rFonts w:ascii="Times New Roman" w:hAnsi="Times New Roman" w:cs="Times New Roman"/>
      <w:sz w:val="24"/>
      <w:szCs w:val="24"/>
    </w:rPr>
  </w:style>
  <w:style w:type="paragraph" w:customStyle="1" w:styleId="spNumList1">
    <w:name w:val="spNumList1"/>
    <w:basedOn w:val="spSmall"/>
    <w:uiPriority w:val="2"/>
    <w:rsid w:val="004D1418"/>
    <w:pPr>
      <w:ind w:left="720" w:hanging="360"/>
    </w:pPr>
    <w:rPr>
      <w:rFonts w:eastAsia="Times New Roman" w:cs="Times New Roman"/>
      <w:szCs w:val="20"/>
    </w:rPr>
  </w:style>
  <w:style w:type="paragraph" w:customStyle="1" w:styleId="ssParagraph">
    <w:name w:val="ssParagraph"/>
    <w:basedOn w:val="spParagraph"/>
    <w:uiPriority w:val="8"/>
    <w:rsid w:val="004D141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4D1418"/>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4D1418"/>
    <w:pPr>
      <w:ind w:left="0"/>
    </w:pPr>
    <w:rPr>
      <w:szCs w:val="24"/>
    </w:rPr>
  </w:style>
  <w:style w:type="paragraph" w:customStyle="1" w:styleId="spTable">
    <w:name w:val="spTable"/>
    <w:basedOn w:val="spSmall"/>
    <w:uiPriority w:val="5"/>
    <w:rsid w:val="004D1418"/>
    <w:pPr>
      <w:keepNext/>
      <w:ind w:left="0"/>
      <w:jc w:val="center"/>
    </w:pPr>
    <w:rPr>
      <w:szCs w:val="22"/>
    </w:rPr>
  </w:style>
  <w:style w:type="paragraph" w:customStyle="1" w:styleId="spSmall">
    <w:name w:val="spSmall"/>
    <w:basedOn w:val="spParagraph"/>
    <w:uiPriority w:val="3"/>
    <w:rsid w:val="004D1418"/>
    <w:pPr>
      <w:spacing w:before="60" w:after="60"/>
      <w:ind w:left="360"/>
    </w:pPr>
    <w:rPr>
      <w:sz w:val="18"/>
    </w:rPr>
  </w:style>
  <w:style w:type="character" w:customStyle="1" w:styleId="ssParagraphNumber">
    <w:name w:val="ssParagraphNumber"/>
    <w:basedOn w:val="DefaultParagraphFont"/>
    <w:uiPriority w:val="6"/>
    <w:rsid w:val="004D1418"/>
    <w:rPr>
      <w:sz w:val="12"/>
    </w:rPr>
  </w:style>
  <w:style w:type="character" w:customStyle="1" w:styleId="1Heading1Char">
    <w:name w:val="1 Heading 1 Char"/>
    <w:basedOn w:val="DefaultParagraphFont"/>
    <w:link w:val="1Heading1"/>
    <w:uiPriority w:val="1"/>
    <w:rsid w:val="004D1418"/>
    <w:rPr>
      <w:b/>
      <w:sz w:val="22"/>
      <w:szCs w:val="28"/>
    </w:rPr>
  </w:style>
  <w:style w:type="paragraph" w:customStyle="1" w:styleId="spParagraph">
    <w:name w:val="spParagraph"/>
    <w:uiPriority w:val="1"/>
    <w:rsid w:val="004D1418"/>
    <w:rPr>
      <w:szCs w:val="28"/>
    </w:rPr>
  </w:style>
  <w:style w:type="paragraph" w:customStyle="1" w:styleId="spTableTitle">
    <w:name w:val="spTableTitle"/>
    <w:basedOn w:val="spTable"/>
    <w:uiPriority w:val="4"/>
    <w:rsid w:val="004D1418"/>
    <w:pPr>
      <w:spacing w:before="120"/>
    </w:pPr>
    <w:rPr>
      <w:b/>
    </w:rPr>
  </w:style>
  <w:style w:type="paragraph" w:styleId="TOC2">
    <w:name w:val="toc 2"/>
    <w:basedOn w:val="Normal"/>
    <w:next w:val="Normal"/>
    <w:autoRedefine/>
    <w:uiPriority w:val="99"/>
    <w:semiHidden/>
    <w:qFormat/>
    <w:rsid w:val="004D141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4D141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4D141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4D141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4D141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4D141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4D141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4D141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4D1418"/>
    <w:rPr>
      <w:rFonts w:cs="Times New Roman"/>
      <w:bCs/>
      <w:noProof/>
      <w:szCs w:val="28"/>
    </w:rPr>
  </w:style>
  <w:style w:type="paragraph" w:customStyle="1" w:styleId="spEOF">
    <w:name w:val="spEOF"/>
    <w:autoRedefine/>
    <w:uiPriority w:val="11"/>
    <w:semiHidden/>
    <w:rsid w:val="004D1418"/>
    <w:pPr>
      <w:spacing w:after="0"/>
      <w:jc w:val="center"/>
    </w:pPr>
    <w:rPr>
      <w:rFonts w:cs="Times New Roman"/>
      <w:b/>
      <w:color w:val="7030A0"/>
      <w:sz w:val="40"/>
      <w:szCs w:val="24"/>
    </w:rPr>
  </w:style>
  <w:style w:type="character" w:customStyle="1" w:styleId="spHeading">
    <w:name w:val="spHeading"/>
    <w:basedOn w:val="DefaultParagraphFont"/>
    <w:uiPriority w:val="1"/>
    <w:rsid w:val="004D1418"/>
    <w:rPr>
      <w:b/>
    </w:rPr>
  </w:style>
  <w:style w:type="paragraph" w:customStyle="1" w:styleId="wiWebLink">
    <w:name w:val="wiWebLink"/>
    <w:basedOn w:val="Normal"/>
    <w:uiPriority w:val="5"/>
    <w:rsid w:val="004D1418"/>
    <w:pPr>
      <w:widowControl w:val="0"/>
      <w:spacing w:after="60"/>
      <w:jc w:val="center"/>
    </w:pPr>
    <w:rPr>
      <w:rFonts w:eastAsia="Times New Roman"/>
      <w:sz w:val="18"/>
      <w:u w:val="single"/>
    </w:rPr>
  </w:style>
  <w:style w:type="paragraph" w:customStyle="1" w:styleId="spNumList2">
    <w:name w:val="spNumList2"/>
    <w:basedOn w:val="spNumList1"/>
    <w:uiPriority w:val="2"/>
    <w:rsid w:val="004D1418"/>
    <w:pPr>
      <w:ind w:left="1296" w:hanging="432"/>
    </w:pPr>
  </w:style>
  <w:style w:type="paragraph" w:customStyle="1" w:styleId="spNumList3">
    <w:name w:val="spNumList3"/>
    <w:basedOn w:val="spNumList1"/>
    <w:uiPriority w:val="2"/>
    <w:rsid w:val="004D1418"/>
    <w:pPr>
      <w:ind w:left="1872" w:hanging="576"/>
    </w:pPr>
  </w:style>
  <w:style w:type="paragraph" w:customStyle="1" w:styleId="STSP">
    <w:name w:val="STSP"/>
    <w:link w:val="STSPChar"/>
    <w:uiPriority w:val="19"/>
    <w:qFormat/>
    <w:rsid w:val="004D1418"/>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4D1418"/>
    <w:rPr>
      <w:rFonts w:cs="Times New Roman"/>
      <w:sz w:val="18"/>
      <w:szCs w:val="24"/>
    </w:rPr>
  </w:style>
  <w:style w:type="paragraph" w:customStyle="1" w:styleId="STSPtable">
    <w:name w:val="STSP table"/>
    <w:basedOn w:val="Normal"/>
    <w:uiPriority w:val="19"/>
    <w:semiHidden/>
    <w:rsid w:val="004D1418"/>
    <w:pPr>
      <w:spacing w:before="0" w:after="0"/>
      <w:jc w:val="center"/>
    </w:pPr>
    <w:rPr>
      <w:rFonts w:cs="Times New Roman"/>
      <w:sz w:val="18"/>
      <w:szCs w:val="22"/>
    </w:rPr>
  </w:style>
  <w:style w:type="paragraph" w:customStyle="1" w:styleId="Table">
    <w:name w:val="Table"/>
    <w:basedOn w:val="Normal"/>
    <w:uiPriority w:val="19"/>
    <w:semiHidden/>
    <w:rsid w:val="004D1418"/>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4D1418"/>
    <w:rPr>
      <w:rFonts w:eastAsiaTheme="majorEastAsia" w:cstheme="majorBidi"/>
      <w:b/>
      <w:iCs/>
    </w:rPr>
  </w:style>
  <w:style w:type="character" w:customStyle="1" w:styleId="Heading5Char">
    <w:name w:val="Heading 5 Char"/>
    <w:basedOn w:val="DefaultParagraphFont"/>
    <w:link w:val="Heading5"/>
    <w:uiPriority w:val="99"/>
    <w:semiHidden/>
    <w:rsid w:val="004D1418"/>
    <w:rPr>
      <w:rFonts w:eastAsiaTheme="majorEastAsia" w:cstheme="majorBidi"/>
      <w:b/>
    </w:rPr>
  </w:style>
  <w:style w:type="character" w:customStyle="1" w:styleId="Heading6Char">
    <w:name w:val="Heading 6 Char"/>
    <w:basedOn w:val="DefaultParagraphFont"/>
    <w:link w:val="Heading6"/>
    <w:uiPriority w:val="99"/>
    <w:semiHidden/>
    <w:rsid w:val="004D1418"/>
    <w:rPr>
      <w:rFonts w:eastAsiaTheme="majorEastAsia" w:cstheme="majorBidi"/>
      <w:b/>
    </w:rPr>
  </w:style>
  <w:style w:type="character" w:customStyle="1" w:styleId="Heading7Char">
    <w:name w:val="Heading 7 Char"/>
    <w:basedOn w:val="DefaultParagraphFont"/>
    <w:link w:val="Heading7"/>
    <w:uiPriority w:val="99"/>
    <w:semiHidden/>
    <w:rsid w:val="004D1418"/>
    <w:rPr>
      <w:rFonts w:eastAsiaTheme="majorEastAsia" w:cstheme="majorBidi"/>
      <w:b/>
      <w:iCs/>
    </w:rPr>
  </w:style>
  <w:style w:type="character" w:customStyle="1" w:styleId="Heading8Char">
    <w:name w:val="Heading 8 Char"/>
    <w:basedOn w:val="DefaultParagraphFont"/>
    <w:link w:val="Heading8"/>
    <w:uiPriority w:val="99"/>
    <w:semiHidden/>
    <w:rsid w:val="004D1418"/>
    <w:rPr>
      <w:rFonts w:eastAsiaTheme="majorEastAsia" w:cstheme="majorBidi"/>
      <w:b/>
      <w:szCs w:val="21"/>
    </w:rPr>
  </w:style>
  <w:style w:type="character" w:customStyle="1" w:styleId="Heading9Char">
    <w:name w:val="Heading 9 Char"/>
    <w:basedOn w:val="DefaultParagraphFont"/>
    <w:link w:val="Heading9"/>
    <w:uiPriority w:val="99"/>
    <w:semiHidden/>
    <w:rsid w:val="004D1418"/>
    <w:rPr>
      <w:rFonts w:eastAsiaTheme="majorEastAsia" w:cstheme="majorBidi"/>
      <w:b/>
      <w:iCs/>
      <w:szCs w:val="21"/>
    </w:rPr>
  </w:style>
  <w:style w:type="paragraph" w:styleId="Header">
    <w:name w:val="header"/>
    <w:basedOn w:val="Normal"/>
    <w:link w:val="HeaderChar"/>
    <w:uiPriority w:val="99"/>
    <w:semiHidden/>
    <w:rsid w:val="004D1418"/>
  </w:style>
  <w:style w:type="character" w:customStyle="1" w:styleId="HeaderChar">
    <w:name w:val="Header Char"/>
    <w:basedOn w:val="DefaultParagraphFont"/>
    <w:link w:val="Header"/>
    <w:uiPriority w:val="99"/>
    <w:semiHidden/>
    <w:rsid w:val="004D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654452175">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10439132">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5F216ACE-EF02-4855-8C9E-35189D792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DA708805-2396-4017-8001-3F3C2175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Removing Raised Pavement Markers (when retrofitting dowels)</dc:title>
  <dc:subject/>
  <dc:creator>NER</dc:creator>
  <cp:keywords>Pavement Marking</cp:keywords>
  <cp:lastModifiedBy>Jodi Marsh</cp:lastModifiedBy>
  <cp:revision>4</cp:revision>
  <cp:lastPrinted>2013-06-26T16:11:00Z</cp:lastPrinted>
  <dcterms:created xsi:type="dcterms:W3CDTF">2017-12-13T20:08:00Z</dcterms:created>
  <dcterms:modified xsi:type="dcterms:W3CDTF">2018-08-28T14:41:00Z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313800</vt:r8>
  </property>
</Properties>
</file>