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854B" w14:textId="77777777" w:rsidR="00A36AE4" w:rsidRPr="00755859" w:rsidRDefault="00A36AE4" w:rsidP="00A36AE4">
      <w:pPr>
        <w:pStyle w:val="1Heading1"/>
      </w:pPr>
      <w:bookmarkStart w:id="0" w:name="_Toc187726150"/>
      <w:r w:rsidRPr="007F3066">
        <w:t>Concrete Landscaping Curb, Item SPV.0090.</w:t>
      </w:r>
      <w:bookmarkEnd w:id="0"/>
      <w:r w:rsidRPr="007F3066">
        <w:fldChar w:fldCharType="begin">
          <w:ffData>
            <w:name w:val="Text76"/>
            <w:enabled/>
            <w:calcOnExit w:val="0"/>
            <w:textInput>
              <w:default w:val="##"/>
            </w:textInput>
          </w:ffData>
        </w:fldChar>
      </w:r>
      <w:bookmarkStart w:id="1" w:name="Text76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153D854C" w14:textId="77777777" w:rsidR="00A36AE4" w:rsidRPr="00E72D69" w:rsidRDefault="00A36AE4" w:rsidP="00A36AE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153D854D" w14:textId="3093B12D" w:rsidR="00A36AE4" w:rsidRDefault="00A36AE4" w:rsidP="00A36AE4">
      <w:pPr>
        <w:pStyle w:val="spParagraph"/>
      </w:pPr>
      <w:r w:rsidRPr="006B7E19">
        <w:t>This special provision describes providing</w:t>
      </w:r>
      <w:r>
        <w:t xml:space="preserve"> special concrete curb of the dimensions and design the plans show, on the prepared foundation or base, at the locations and to the required lines and grades the plans s</w:t>
      </w:r>
      <w:r w:rsidR="003C22F5">
        <w:t>how. Conform to standard spec 60</w:t>
      </w:r>
      <w:r>
        <w:t>1 and as follows.</w:t>
      </w:r>
    </w:p>
    <w:p w14:paraId="153D854E" w14:textId="77777777" w:rsidR="00A36AE4" w:rsidRPr="00E72D69" w:rsidRDefault="00A36AE4" w:rsidP="00A36AE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153D854F" w14:textId="7E2CB170" w:rsidR="00A36AE4" w:rsidRDefault="00A36AE4" w:rsidP="00A36AE4">
      <w:pPr>
        <w:pStyle w:val="spParagraph"/>
      </w:pPr>
      <w:r>
        <w:t>All materials furnished and used in this item of work shall meet the requirements of standard spec 601 and as follows.</w:t>
      </w:r>
    </w:p>
    <w:p w14:paraId="153D8551" w14:textId="77777777" w:rsidR="00A36AE4" w:rsidRDefault="00A36AE4" w:rsidP="00A36AE4">
      <w:pPr>
        <w:pStyle w:val="spParagraph"/>
      </w:pPr>
      <w:r>
        <w:t>Batch all concrete from the same concrete plant with the same cement supplier throughout the project to prevent possible shade variance.</w:t>
      </w:r>
    </w:p>
    <w:p w14:paraId="153D8552" w14:textId="322737AB" w:rsidR="00A36AE4" w:rsidRDefault="00A36AE4" w:rsidP="00A36AE4">
      <w:pPr>
        <w:pStyle w:val="spParagraph"/>
      </w:pPr>
      <w:r>
        <w:t>Tie bar</w:t>
      </w:r>
      <w:r w:rsidR="003C22F5">
        <w:t>s shall conform to the</w:t>
      </w:r>
      <w:r>
        <w:t xml:space="preserve"> requirements of standard spec 505.</w:t>
      </w:r>
      <w:r w:rsidR="002D5AB6">
        <w:t>2.</w:t>
      </w:r>
    </w:p>
    <w:p w14:paraId="153D8553" w14:textId="77777777" w:rsidR="00A36AE4" w:rsidRPr="00E72D69" w:rsidRDefault="00A36AE4" w:rsidP="00A36AE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153D8554" w14:textId="77777777" w:rsidR="00A36AE4" w:rsidRDefault="00A36AE4" w:rsidP="00A36AE4">
      <w:pPr>
        <w:pStyle w:val="spParagraph"/>
      </w:pPr>
      <w:r>
        <w:t>All work under this item shall conform to standard spec 601.3, and as follows.</w:t>
      </w:r>
    </w:p>
    <w:p w14:paraId="153D8555" w14:textId="77777777" w:rsidR="00A36AE4" w:rsidRDefault="00A36AE4" w:rsidP="00A36AE4">
      <w:pPr>
        <w:pStyle w:val="spParagraph"/>
      </w:pPr>
      <w:r>
        <w:t>Saw control joints as specified. Control joints shall match spacing of joints in adjacent concrete pad and curb and gutter.</w:t>
      </w:r>
    </w:p>
    <w:p w14:paraId="153D8556" w14:textId="77777777" w:rsidR="00A36AE4" w:rsidRPr="00E72D69" w:rsidRDefault="00A36AE4" w:rsidP="00A36AE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153D8557" w14:textId="77777777" w:rsidR="00A36AE4" w:rsidRDefault="00A36AE4" w:rsidP="00A36AE4">
      <w:pPr>
        <w:pStyle w:val="spParagraph"/>
      </w:pPr>
      <w:r>
        <w:t>The department will measure Concrete Landscaping Curb by the linear foot, in place and accepted.</w:t>
      </w:r>
    </w:p>
    <w:p w14:paraId="153D8558" w14:textId="77777777" w:rsidR="00A36AE4" w:rsidRPr="00E72D69" w:rsidRDefault="00A36AE4" w:rsidP="00A36AE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153D8559" w14:textId="77777777" w:rsidR="00A36AE4" w:rsidRDefault="00A36AE4" w:rsidP="00A36AE4">
      <w:pPr>
        <w:pStyle w:val="spParagraph"/>
      </w:pPr>
      <w:r>
        <w:rPr>
          <w:spacing w:val="-2"/>
        </w:rPr>
        <w:t>The department will pay for measured quantities at the contract unit price under the following bid item:</w:t>
      </w:r>
    </w:p>
    <w:p w14:paraId="153D855A" w14:textId="77777777" w:rsidR="00A36AE4" w:rsidRPr="00995728" w:rsidRDefault="00A36AE4" w:rsidP="00A36AE4">
      <w:pPr>
        <w:pStyle w:val="ssBidItem"/>
      </w:pPr>
      <w:r w:rsidRPr="00995728">
        <w:t>ITEM NUMBER</w:t>
      </w:r>
      <w:r w:rsidRPr="00995728">
        <w:tab/>
        <w:t>DESCRIPTION</w:t>
      </w:r>
      <w:r w:rsidRPr="00995728">
        <w:tab/>
        <w:t>UNIT</w:t>
      </w:r>
    </w:p>
    <w:p w14:paraId="153D855B" w14:textId="77777777" w:rsidR="00A36AE4" w:rsidRPr="00995728" w:rsidRDefault="00A36AE4" w:rsidP="00A36AE4">
      <w:pPr>
        <w:pStyle w:val="ssBidItem"/>
      </w:pPr>
      <w:r w:rsidRPr="00995728">
        <w:t>SPV.0090.</w:t>
      </w:r>
      <w:r>
        <w:fldChar w:fldCharType="begin">
          <w:ffData>
            <w:name w:val="Text392"/>
            <w:enabled/>
            <w:calcOnExit w:val="0"/>
            <w:textInput>
              <w:default w:val="##"/>
            </w:textInput>
          </w:ffData>
        </w:fldChar>
      </w:r>
      <w:bookmarkStart w:id="2" w:name="Text392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995728">
        <w:tab/>
        <w:t>Concrete Landscaping Curb</w:t>
      </w:r>
      <w:r w:rsidRPr="00995728">
        <w:tab/>
        <w:t>LF</w:t>
      </w:r>
    </w:p>
    <w:p w14:paraId="153D855C" w14:textId="77777777" w:rsidR="00A36AE4" w:rsidRDefault="00A36AE4" w:rsidP="00A36AE4">
      <w:pPr>
        <w:pStyle w:val="spParagraph"/>
      </w:pPr>
      <w:r>
        <w:t>Payment is full compensation for all excavation and preparation of foundation, excluding the item of base aggregate dense; for furnishing all materials, including concrete masonry, expansion joints, and tie bars; for placing, finishing, protecting, and curing; for sawing of joints; for disposal of excess materials.</w:t>
      </w:r>
    </w:p>
    <w:p w14:paraId="153D855D" w14:textId="059F4EA3" w:rsidR="0088764C" w:rsidRDefault="0088764C" w:rsidP="0088764C">
      <w:pPr>
        <w:pStyle w:val="spVersion"/>
      </w:pPr>
      <w:r>
        <w:t>ner-601-020 (201</w:t>
      </w:r>
      <w:r w:rsidR="001B46E4">
        <w:t>90718</w:t>
      </w:r>
      <w:r>
        <w:t>)</w:t>
      </w:r>
      <w:bookmarkStart w:id="3" w:name="_GoBack"/>
      <w:bookmarkEnd w:id="3"/>
    </w:p>
    <w:sectPr w:rsidR="0088764C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D8572" w14:textId="77777777" w:rsidR="00A36AE4" w:rsidRDefault="00A36AE4">
      <w:r>
        <w:separator/>
      </w:r>
    </w:p>
    <w:p w14:paraId="153D8573" w14:textId="77777777" w:rsidR="00A36AE4" w:rsidRDefault="00A36AE4"/>
    <w:p w14:paraId="153D8574" w14:textId="77777777" w:rsidR="00A36AE4" w:rsidRDefault="00A36AE4"/>
    <w:p w14:paraId="153D8575" w14:textId="77777777" w:rsidR="00A36AE4" w:rsidRDefault="00A36AE4"/>
    <w:p w14:paraId="153D8576" w14:textId="77777777" w:rsidR="00A36AE4" w:rsidRDefault="00A36AE4"/>
    <w:p w14:paraId="153D8577" w14:textId="77777777" w:rsidR="00A36AE4" w:rsidRDefault="00A36AE4"/>
    <w:p w14:paraId="153D8578" w14:textId="77777777" w:rsidR="00A36AE4" w:rsidRDefault="00A36AE4"/>
    <w:p w14:paraId="153D8579" w14:textId="77777777" w:rsidR="00A36AE4" w:rsidRDefault="00A36AE4"/>
    <w:p w14:paraId="153D857A" w14:textId="77777777" w:rsidR="00A36AE4" w:rsidRDefault="00A36AE4"/>
  </w:endnote>
  <w:endnote w:type="continuationSeparator" w:id="0">
    <w:p w14:paraId="153D857B" w14:textId="77777777" w:rsidR="00A36AE4" w:rsidRDefault="00A36AE4">
      <w:r>
        <w:continuationSeparator/>
      </w:r>
    </w:p>
    <w:p w14:paraId="153D857C" w14:textId="77777777" w:rsidR="00A36AE4" w:rsidRDefault="00A36AE4"/>
    <w:p w14:paraId="153D857D" w14:textId="77777777" w:rsidR="00A36AE4" w:rsidRDefault="00A36AE4"/>
    <w:p w14:paraId="153D857E" w14:textId="77777777" w:rsidR="00A36AE4" w:rsidRDefault="00A36AE4"/>
    <w:p w14:paraId="153D857F" w14:textId="77777777" w:rsidR="00A36AE4" w:rsidRDefault="00A36AE4"/>
    <w:p w14:paraId="153D8580" w14:textId="77777777" w:rsidR="00A36AE4" w:rsidRDefault="00A36AE4"/>
    <w:p w14:paraId="153D8581" w14:textId="77777777" w:rsidR="00A36AE4" w:rsidRDefault="00A36AE4"/>
    <w:p w14:paraId="153D8582" w14:textId="77777777" w:rsidR="00A36AE4" w:rsidRDefault="00A36AE4"/>
    <w:p w14:paraId="153D8583" w14:textId="77777777" w:rsidR="00A36AE4" w:rsidRDefault="00A36AE4"/>
  </w:endnote>
  <w:endnote w:type="continuationNotice" w:id="1">
    <w:p w14:paraId="153D8584" w14:textId="77777777" w:rsidR="00A36AE4" w:rsidRDefault="00A36AE4"/>
    <w:p w14:paraId="153D8585" w14:textId="77777777" w:rsidR="00A36AE4" w:rsidRDefault="00A36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8588" w14:textId="77777777" w:rsidR="00257CAD" w:rsidRDefault="00257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8589" w14:textId="037E5CD7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A3692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1B46E4">
          <w:fldChar w:fldCharType="begin"/>
        </w:r>
        <w:r w:rsidR="001B46E4">
          <w:instrText xml:space="preserve"> NUMPAGES  </w:instrText>
        </w:r>
        <w:r w:rsidR="001B46E4">
          <w:fldChar w:fldCharType="separate"/>
        </w:r>
        <w:r w:rsidR="00A36922">
          <w:rPr>
            <w:noProof/>
          </w:rPr>
          <w:t>1</w:t>
        </w:r>
        <w:r w:rsidR="001B46E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858B" w14:textId="77777777" w:rsidR="00257CAD" w:rsidRDefault="00257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D855E" w14:textId="77777777" w:rsidR="00A36AE4" w:rsidRDefault="00A36AE4">
      <w:r>
        <w:separator/>
      </w:r>
    </w:p>
    <w:p w14:paraId="153D855F" w14:textId="77777777" w:rsidR="00A36AE4" w:rsidRDefault="00A36AE4"/>
    <w:p w14:paraId="153D8560" w14:textId="77777777" w:rsidR="00A36AE4" w:rsidRDefault="00A36AE4"/>
    <w:p w14:paraId="153D8561" w14:textId="77777777" w:rsidR="00A36AE4" w:rsidRDefault="00A36AE4"/>
    <w:p w14:paraId="153D8562" w14:textId="77777777" w:rsidR="00A36AE4" w:rsidRDefault="00A36AE4"/>
    <w:p w14:paraId="153D8563" w14:textId="77777777" w:rsidR="00A36AE4" w:rsidRDefault="00A36AE4"/>
    <w:p w14:paraId="153D8564" w14:textId="77777777" w:rsidR="00A36AE4" w:rsidRDefault="00A36AE4"/>
    <w:p w14:paraId="153D8565" w14:textId="77777777" w:rsidR="00A36AE4" w:rsidRDefault="00A36AE4"/>
    <w:p w14:paraId="153D8566" w14:textId="77777777" w:rsidR="00A36AE4" w:rsidRDefault="00A36AE4"/>
  </w:footnote>
  <w:footnote w:type="continuationSeparator" w:id="0">
    <w:p w14:paraId="153D8567" w14:textId="77777777" w:rsidR="00A36AE4" w:rsidRDefault="00A36AE4">
      <w:r>
        <w:continuationSeparator/>
      </w:r>
    </w:p>
    <w:p w14:paraId="153D8568" w14:textId="77777777" w:rsidR="00A36AE4" w:rsidRDefault="00A36AE4"/>
    <w:p w14:paraId="153D8569" w14:textId="77777777" w:rsidR="00A36AE4" w:rsidRDefault="00A36AE4"/>
    <w:p w14:paraId="153D856A" w14:textId="77777777" w:rsidR="00A36AE4" w:rsidRDefault="00A36AE4"/>
    <w:p w14:paraId="153D856B" w14:textId="77777777" w:rsidR="00A36AE4" w:rsidRDefault="00A36AE4"/>
    <w:p w14:paraId="153D856C" w14:textId="77777777" w:rsidR="00A36AE4" w:rsidRDefault="00A36AE4"/>
    <w:p w14:paraId="153D856D" w14:textId="77777777" w:rsidR="00A36AE4" w:rsidRDefault="00A36AE4"/>
    <w:p w14:paraId="153D856E" w14:textId="77777777" w:rsidR="00A36AE4" w:rsidRDefault="00A36AE4"/>
    <w:p w14:paraId="153D856F" w14:textId="77777777" w:rsidR="00A36AE4" w:rsidRDefault="00A36AE4"/>
  </w:footnote>
  <w:footnote w:type="continuationNotice" w:id="1">
    <w:p w14:paraId="153D8570" w14:textId="77777777" w:rsidR="00A36AE4" w:rsidRDefault="00A36AE4"/>
    <w:p w14:paraId="153D8571" w14:textId="77777777" w:rsidR="00A36AE4" w:rsidRDefault="00A36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8586" w14:textId="77777777" w:rsidR="00257CAD" w:rsidRDefault="00257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8587" w14:textId="77777777" w:rsidR="00257CAD" w:rsidRDefault="00257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858A" w14:textId="77777777" w:rsidR="0088764C" w:rsidRDefault="0088764C" w:rsidP="00887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E4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6E4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57CAD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5AB6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22F5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25CB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1BBB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8764C"/>
    <w:rsid w:val="00893ECB"/>
    <w:rsid w:val="00893F4E"/>
    <w:rsid w:val="00895FEF"/>
    <w:rsid w:val="008A099A"/>
    <w:rsid w:val="008A0FF0"/>
    <w:rsid w:val="008A4E2F"/>
    <w:rsid w:val="008B0B7F"/>
    <w:rsid w:val="008B29E2"/>
    <w:rsid w:val="008B339E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6922"/>
    <w:rsid w:val="00A36AE4"/>
    <w:rsid w:val="00A37D1C"/>
    <w:rsid w:val="00A41BC7"/>
    <w:rsid w:val="00A425FA"/>
    <w:rsid w:val="00A45337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56130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0787A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3D854B"/>
  <w15:docId w15:val="{56BD20D5-7994-4F8C-857A-06D0CE6D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1B46E4"/>
  </w:style>
  <w:style w:type="paragraph" w:styleId="Heading1">
    <w:name w:val="heading 1"/>
    <w:basedOn w:val="Normal"/>
    <w:next w:val="Normal"/>
    <w:link w:val="Heading1Char"/>
    <w:uiPriority w:val="99"/>
    <w:semiHidden/>
    <w:rsid w:val="001B46E4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B46E4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B46E4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B46E4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1B46E4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B46E4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1B46E4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1B46E4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1B46E4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1B46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46E4"/>
  </w:style>
  <w:style w:type="character" w:customStyle="1" w:styleId="Heading1Char">
    <w:name w:val="Heading 1 Char"/>
    <w:basedOn w:val="DefaultParagraphFont"/>
    <w:link w:val="Heading1"/>
    <w:uiPriority w:val="99"/>
    <w:semiHidden/>
    <w:rsid w:val="001B46E4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B46E4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B46E4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1B46E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B46E4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B46E4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1B46E4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1B46E4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1B46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1B46E4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1B46E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1B46E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46E4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1B46E4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46E4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1B46E4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1B46E4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B46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46E4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1B46E4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1B46E4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1B46E4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1B46E4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1B46E4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1B46E4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1B46E4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1B46E4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1B46E4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1B46E4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1B46E4"/>
    <w:rPr>
      <w:b/>
      <w:sz w:val="22"/>
      <w:szCs w:val="28"/>
    </w:rPr>
  </w:style>
  <w:style w:type="paragraph" w:customStyle="1" w:styleId="spParagraph">
    <w:name w:val="spParagraph"/>
    <w:uiPriority w:val="1"/>
    <w:rsid w:val="001B46E4"/>
    <w:rPr>
      <w:szCs w:val="28"/>
    </w:rPr>
  </w:style>
  <w:style w:type="paragraph" w:customStyle="1" w:styleId="spTableTitle">
    <w:name w:val="spTableTitle"/>
    <w:basedOn w:val="spTable"/>
    <w:uiPriority w:val="4"/>
    <w:rsid w:val="001B46E4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1B46E4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1B46E4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1B46E4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1B46E4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1B46E4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1B46E4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1B46E4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1B46E4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1B46E4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1B46E4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B46E4"/>
    <w:rPr>
      <w:b/>
    </w:rPr>
  </w:style>
  <w:style w:type="paragraph" w:customStyle="1" w:styleId="wiWebLink">
    <w:name w:val="wiWebLink"/>
    <w:basedOn w:val="Normal"/>
    <w:uiPriority w:val="5"/>
    <w:rsid w:val="001B46E4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1B46E4"/>
    <w:pPr>
      <w:ind w:left="1296" w:hanging="432"/>
    </w:pPr>
  </w:style>
  <w:style w:type="paragraph" w:customStyle="1" w:styleId="spNumList3">
    <w:name w:val="spNumList3"/>
    <w:basedOn w:val="spNumList1"/>
    <w:uiPriority w:val="2"/>
    <w:rsid w:val="001B46E4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1B46E4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1B46E4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1B46E4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1B46E4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B46E4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B46E4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B46E4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B46E4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B46E4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B46E4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1B46E4"/>
  </w:style>
  <w:style w:type="character" w:customStyle="1" w:styleId="HeaderChar">
    <w:name w:val="Header Char"/>
    <w:basedOn w:val="DefaultParagraphFont"/>
    <w:link w:val="Header"/>
    <w:uiPriority w:val="99"/>
    <w:semiHidden/>
    <w:rsid w:val="001B46E4"/>
  </w:style>
  <w:style w:type="character" w:customStyle="1" w:styleId="TextField">
    <w:name w:val="Text Field"/>
    <w:basedOn w:val="DefaultParagraphFont"/>
    <w:uiPriority w:val="1"/>
    <w:rsid w:val="001B46E4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3F76-3F4D-4D0E-972F-37BB946B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7BD97C-B654-4528-9221-251275F9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Concrete Landscaping Curb</vt:lpstr>
    </vt:vector>
  </TitlesOfParts>
  <Company>WisDOT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Concrete Landscaping Curb</dc:title>
  <dc:subject/>
  <dc:creator>NER</dc:creator>
  <cp:keywords>Concrete</cp:keywords>
  <cp:lastModifiedBy>Jarosinski, Jodi - DOT</cp:lastModifiedBy>
  <cp:revision>2</cp:revision>
  <cp:lastPrinted>2013-06-26T16:11:00Z</cp:lastPrinted>
  <dcterms:created xsi:type="dcterms:W3CDTF">2019-07-18T18:42:00Z</dcterms:created>
  <dcterms:modified xsi:type="dcterms:W3CDTF">2019-07-18T18:42:00Z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324700</vt:r8>
  </property>
</Properties>
</file>