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E406" w14:textId="77777777" w:rsidR="00D30525" w:rsidRDefault="474D3510" w:rsidP="00D30525">
      <w:pPr>
        <w:pStyle w:val="wiComment"/>
      </w:pPr>
      <w:bookmarkStart w:id="0" w:name="_Toc110218172"/>
      <w:bookmarkStart w:id="1" w:name="_Toc117044486"/>
      <w:r>
        <w:t>Contractor use of municipal sewer system is preferred. Use this article only if that is not an option. Contact Environmental Coordinator.</w:t>
      </w:r>
    </w:p>
    <w:p w14:paraId="743B40EE" w14:textId="35045461" w:rsidR="00833DA7" w:rsidRPr="00755859" w:rsidRDefault="00833DA7" w:rsidP="00833DA7">
      <w:pPr>
        <w:pStyle w:val="1Heading1"/>
      </w:pPr>
      <w:r w:rsidRPr="007F3066">
        <w:t>Management of Petroleum Contaminated Water, Item SPV.0</w:t>
      </w:r>
      <w:r w:rsidR="00BB10B8">
        <w:t>060</w:t>
      </w:r>
      <w:r w:rsidRPr="007F3066">
        <w:t>.</w:t>
      </w:r>
      <w:bookmarkEnd w:id="0"/>
      <w:bookmarkEnd w:id="1"/>
      <w:r w:rsidRPr="007F3066">
        <w:fldChar w:fldCharType="begin">
          <w:ffData>
            <w:name w:val="Text222"/>
            <w:enabled/>
            <w:calcOnExit w:val="0"/>
            <w:textInput>
              <w:default w:val="##"/>
            </w:textInput>
          </w:ffData>
        </w:fldChar>
      </w:r>
      <w:bookmarkStart w:id="2" w:name="Text222"/>
      <w:r w:rsidRPr="007F3066">
        <w:instrText xml:space="preserve"> FORMTEXT </w:instrText>
      </w:r>
      <w:r w:rsidRPr="007F3066">
        <w:fldChar w:fldCharType="separate"/>
      </w:r>
      <w:r w:rsidRPr="007F3066">
        <w:t>##</w:t>
      </w:r>
      <w:r w:rsidRPr="007F3066">
        <w:fldChar w:fldCharType="end"/>
      </w:r>
      <w:bookmarkEnd w:id="2"/>
    </w:p>
    <w:p w14:paraId="2FF60127" w14:textId="77777777" w:rsidR="00833DA7" w:rsidRPr="00E72D69" w:rsidRDefault="474D3510" w:rsidP="474D3510">
      <w:pPr>
        <w:pStyle w:val="spParagraph"/>
        <w:rPr>
          <w:rStyle w:val="spHeading"/>
        </w:rPr>
      </w:pPr>
      <w:r w:rsidRPr="474D3510">
        <w:rPr>
          <w:rStyle w:val="spHeading"/>
        </w:rPr>
        <w:t>A  Description</w:t>
      </w:r>
    </w:p>
    <w:p w14:paraId="43F270E1" w14:textId="77777777" w:rsidR="00833DA7" w:rsidRDefault="474D3510" w:rsidP="00833DA7">
      <w:pPr>
        <w:pStyle w:val="spParagraph"/>
      </w:pPr>
      <w:r>
        <w:t>This special provision describes managing petroleum-contaminated groundwater.</w:t>
      </w:r>
    </w:p>
    <w:p w14:paraId="1D177F15" w14:textId="35B8C389" w:rsidR="00833DA7" w:rsidRPr="00324008" w:rsidRDefault="474D3510" w:rsidP="00833DA7">
      <w:pPr>
        <w:pStyle w:val="spParagraph"/>
      </w:pPr>
      <w:r>
        <w:t xml:space="preserve">Conform to standard spec </w:t>
      </w:r>
      <w:r w:rsidR="00F30EC0">
        <w:t>205, parts</w:t>
      </w:r>
      <w:r>
        <w:t xml:space="preserve"> of the Wisconsin Administration Code (Department of Natural Resources Environmental Investigation and Remediation of Environmental Contamination, Chapters NR 700-736), as the plans show, and in this special provision.</w:t>
      </w:r>
    </w:p>
    <w:p w14:paraId="32757C87" w14:textId="77777777" w:rsidR="00833DA7" w:rsidRPr="00324008" w:rsidRDefault="474D3510" w:rsidP="00833DA7">
      <w:pPr>
        <w:pStyle w:val="spParagraph"/>
      </w:pPr>
      <w:r>
        <w:t>This work consists of pumping petroleum contaminated water from open excavations into a temporary holding tank, as necessary to complete construction. Contaminated water encountered, but not requiring removal as a standard course of construction, shall remain in-place and not be managed under this special provision.</w:t>
      </w:r>
    </w:p>
    <w:p w14:paraId="45DAA102" w14:textId="77777777" w:rsidR="00833DA7" w:rsidRPr="00324008" w:rsidRDefault="474D3510" w:rsidP="00833DA7">
      <w:pPr>
        <w:pStyle w:val="spParagraph"/>
      </w:pPr>
      <w:r>
        <w:t>The cost for holding tank mobilization, transportation, and contaminated water disposal will be billed directly by the environmental consultant and/or disposal facility to the department.</w:t>
      </w:r>
    </w:p>
    <w:p w14:paraId="7699F93E" w14:textId="77777777" w:rsidR="00833DA7" w:rsidRPr="00324008" w:rsidRDefault="474D3510" w:rsidP="474D3510">
      <w:pPr>
        <w:pStyle w:val="spParagraph"/>
        <w:rPr>
          <w:rStyle w:val="spHeading"/>
        </w:rPr>
      </w:pPr>
      <w:r w:rsidRPr="474D3510">
        <w:rPr>
          <w:rStyle w:val="spHeading"/>
        </w:rPr>
        <w:t>A.1  Notice to the Contractor</w:t>
      </w:r>
    </w:p>
    <w:p w14:paraId="3ACFB4BC" w14:textId="77777777" w:rsidR="00833DA7" w:rsidRDefault="474D3510" w:rsidP="00833DA7">
      <w:pPr>
        <w:pStyle w:val="spParagraph"/>
      </w:pPr>
      <w:r>
        <w:t>A Phase I Environmental Site Assessment (ESA) and Phase II Subsurface Investigation (SI), including testing for soil and groundwater contamination, were completed by the department for locations within this project where excavation is required. Information obtained by the department indicated that petroleum contaminated groundwater requiring special management is likely to be encountered at the following location:</w:t>
      </w:r>
    </w:p>
    <w:p w14:paraId="372A514F" w14:textId="77777777" w:rsidR="00833DA7" w:rsidRDefault="00833DA7" w:rsidP="00833DA7">
      <w:pPr>
        <w:pStyle w:val="spNumList1"/>
      </w:pPr>
      <w:r>
        <w:t>1.</w:t>
      </w:r>
      <w:r>
        <w:tab/>
        <w:t>Station 628+20 to 629+20 from slope intercept to slope intercept at a depth of approximately 6 to 12 feet below existing grade.</w:t>
      </w:r>
    </w:p>
    <w:p w14:paraId="3022BDEC" w14:textId="77777777" w:rsidR="00833DA7" w:rsidRPr="003A06CD" w:rsidRDefault="474D3510" w:rsidP="474D3510">
      <w:pPr>
        <w:pStyle w:val="spSmall"/>
        <w:ind w:left="720"/>
        <w:rPr>
          <w:rFonts w:cs="Arial"/>
        </w:rPr>
      </w:pPr>
      <w:r w:rsidRPr="474D3510">
        <w:rPr>
          <w:rFonts w:cs="Arial"/>
        </w:rPr>
        <w:t>Groundwater contamination with gasoline or other petroleum related products at concentrations exceeding the Enforcement Standards identified in s. NR 140.10 Wisconsin Administrative Code are likely to be encountered during excavation activities.</w:t>
      </w:r>
    </w:p>
    <w:p w14:paraId="6FB732D0" w14:textId="77777777" w:rsidR="00833DA7" w:rsidRDefault="474D3510" w:rsidP="00833DA7">
      <w:pPr>
        <w:pStyle w:val="spParagraph"/>
      </w:pPr>
      <w:r>
        <w:t>If petroleum odors are observed during dewatering activities at other locations on the project, terminate dewatering activities and notify the engineer.</w:t>
      </w:r>
    </w:p>
    <w:p w14:paraId="12041BEC" w14:textId="77777777" w:rsidR="00833DA7" w:rsidRDefault="474D3510" w:rsidP="00833DA7">
      <w:pPr>
        <w:pStyle w:val="spParagraph"/>
      </w:pPr>
      <w:r>
        <w:t>For further information regarding investigation activities at these locations, contact Kathie VanPrice, Wisconsin Department of Transportation, Environmental Coordinator, 944 Vanderperren Way, Green Bay, Wisconsin 54324, and (920) 492-7175.</w:t>
      </w:r>
    </w:p>
    <w:p w14:paraId="05FEDB2E" w14:textId="77777777" w:rsidR="00833DA7" w:rsidRPr="00324008" w:rsidRDefault="474D3510" w:rsidP="474D3510">
      <w:pPr>
        <w:pStyle w:val="spParagraph"/>
        <w:rPr>
          <w:rStyle w:val="spHeading"/>
        </w:rPr>
      </w:pPr>
      <w:r w:rsidRPr="474D3510">
        <w:rPr>
          <w:rStyle w:val="spHeading"/>
        </w:rPr>
        <w:t>A.2  Coordination</w:t>
      </w:r>
    </w:p>
    <w:p w14:paraId="5B92DFA9" w14:textId="77777777" w:rsidR="00833DA7" w:rsidRPr="00324008" w:rsidRDefault="474D3510" w:rsidP="00833DA7">
      <w:pPr>
        <w:pStyle w:val="spParagraph"/>
      </w:pPr>
      <w:r>
        <w:t>Coordinate work under this contract with the environmental consultant retained by the department:</w:t>
      </w:r>
    </w:p>
    <w:p w14:paraId="75ABD011" w14:textId="77777777" w:rsidR="00833DA7" w:rsidRPr="003A06CD" w:rsidRDefault="00833DA7" w:rsidP="474D3510">
      <w:pPr>
        <w:pStyle w:val="spSmall"/>
        <w:spacing w:before="0" w:after="0"/>
        <w:rPr>
          <w:rFonts w:cs="Arial"/>
          <w:highlight w:val="yellow"/>
        </w:rPr>
      </w:pPr>
      <w:r w:rsidRPr="003A06CD">
        <w:rPr>
          <w:rFonts w:cs="Arial"/>
          <w:highlight w:val="yellow"/>
        </w:rPr>
        <w:t>Consultant:</w:t>
      </w:r>
      <w:r w:rsidRPr="003A06CD">
        <w:rPr>
          <w:rFonts w:cs="Arial"/>
          <w:highlight w:val="yellow"/>
        </w:rPr>
        <w:tab/>
        <w:t>STS Consultants, Ltd.</w:t>
      </w:r>
    </w:p>
    <w:p w14:paraId="5817F796" w14:textId="77777777" w:rsidR="00833DA7" w:rsidRPr="003A06CD" w:rsidRDefault="00833DA7" w:rsidP="474D3510">
      <w:pPr>
        <w:pStyle w:val="spSmall"/>
        <w:spacing w:before="0" w:after="0"/>
        <w:rPr>
          <w:rFonts w:cs="Arial"/>
          <w:highlight w:val="yellow"/>
        </w:rPr>
      </w:pPr>
      <w:r w:rsidRPr="003A06CD">
        <w:rPr>
          <w:rFonts w:cs="Arial"/>
          <w:highlight w:val="yellow"/>
        </w:rPr>
        <w:t>Address:</w:t>
      </w:r>
      <w:r w:rsidRPr="003A06CD">
        <w:rPr>
          <w:rFonts w:cs="Arial"/>
          <w:highlight w:val="yellow"/>
        </w:rPr>
        <w:tab/>
        <w:t>1035 Kepler Drive, Green Bay, Wisconsin, 54311</w:t>
      </w:r>
    </w:p>
    <w:p w14:paraId="3585F1C9" w14:textId="77777777" w:rsidR="00833DA7" w:rsidRPr="003A06CD" w:rsidRDefault="00833DA7" w:rsidP="474D3510">
      <w:pPr>
        <w:pStyle w:val="spSmall"/>
        <w:spacing w:before="0" w:after="0"/>
        <w:rPr>
          <w:rFonts w:cs="Arial"/>
          <w:highlight w:val="yellow"/>
        </w:rPr>
      </w:pPr>
      <w:r w:rsidRPr="003A06CD">
        <w:rPr>
          <w:rFonts w:cs="Arial"/>
          <w:highlight w:val="yellow"/>
        </w:rPr>
        <w:t>Contact:</w:t>
      </w:r>
      <w:r w:rsidRPr="003A06CD">
        <w:rPr>
          <w:rFonts w:cs="Arial"/>
          <w:highlight w:val="yellow"/>
        </w:rPr>
        <w:tab/>
        <w:t>Paul Garvey, Mike DeBraske or Roger Miller</w:t>
      </w:r>
    </w:p>
    <w:p w14:paraId="2F3A2B85" w14:textId="77777777" w:rsidR="00833DA7" w:rsidRPr="003A06CD" w:rsidRDefault="00833DA7" w:rsidP="474D3510">
      <w:pPr>
        <w:pStyle w:val="spSmall"/>
        <w:spacing w:before="0" w:after="0"/>
        <w:ind w:left="1440"/>
        <w:rPr>
          <w:rFonts w:cs="Arial"/>
          <w:highlight w:val="yellow"/>
        </w:rPr>
      </w:pPr>
      <w:r w:rsidRPr="003A06CD">
        <w:rPr>
          <w:rFonts w:cs="Arial"/>
          <w:highlight w:val="yellow"/>
        </w:rPr>
        <w:t>Phone:</w:t>
      </w:r>
      <w:r w:rsidRPr="003A06CD">
        <w:rPr>
          <w:rFonts w:cs="Arial"/>
          <w:highlight w:val="yellow"/>
        </w:rPr>
        <w:tab/>
        <w:t>(920) 468</w:t>
      </w:r>
      <w:r>
        <w:rPr>
          <w:rFonts w:cs="Arial"/>
          <w:highlight w:val="yellow"/>
        </w:rPr>
        <w:t>-</w:t>
      </w:r>
      <w:r w:rsidRPr="003A06CD">
        <w:rPr>
          <w:rFonts w:cs="Arial"/>
          <w:highlight w:val="yellow"/>
        </w:rPr>
        <w:t>1978</w:t>
      </w:r>
    </w:p>
    <w:p w14:paraId="648D6B4E" w14:textId="77777777" w:rsidR="00833DA7" w:rsidRPr="003A06CD" w:rsidRDefault="00833DA7" w:rsidP="474D3510">
      <w:pPr>
        <w:pStyle w:val="spSmall"/>
        <w:spacing w:before="0" w:after="0"/>
        <w:ind w:left="1440"/>
        <w:rPr>
          <w:rFonts w:cs="Arial"/>
        </w:rPr>
      </w:pPr>
      <w:r w:rsidRPr="003A06CD">
        <w:rPr>
          <w:rFonts w:cs="Arial"/>
          <w:highlight w:val="yellow"/>
        </w:rPr>
        <w:t>FAX:</w:t>
      </w:r>
      <w:r w:rsidRPr="003A06CD">
        <w:rPr>
          <w:rFonts w:cs="Arial"/>
          <w:highlight w:val="yellow"/>
        </w:rPr>
        <w:tab/>
        <w:t>(920) 468</w:t>
      </w:r>
      <w:r>
        <w:rPr>
          <w:rFonts w:cs="Arial"/>
          <w:highlight w:val="yellow"/>
        </w:rPr>
        <w:t>-</w:t>
      </w:r>
      <w:r w:rsidRPr="003A06CD">
        <w:rPr>
          <w:rFonts w:cs="Arial"/>
          <w:highlight w:val="yellow"/>
        </w:rPr>
        <w:t>3312</w:t>
      </w:r>
    </w:p>
    <w:p w14:paraId="3C25B6CC" w14:textId="77777777" w:rsidR="00833DA7" w:rsidRDefault="474D3510" w:rsidP="00833DA7">
      <w:pPr>
        <w:pStyle w:val="spParagraph"/>
      </w:pPr>
      <w:r>
        <w:t>The environmental consultant will determine the location and limits of contaminated groundwater to be managed and conveyed into a temporary holding tank based on groundwater analytical results from previous field investigations, visual observations or field screening of groundwater, surface water, and precipitation that collects within the excavations.</w:t>
      </w:r>
    </w:p>
    <w:p w14:paraId="55539A10" w14:textId="77777777" w:rsidR="00833DA7" w:rsidRDefault="474D3510" w:rsidP="00833DA7">
      <w:pPr>
        <w:pStyle w:val="spParagraph"/>
      </w:pPr>
      <w:r>
        <w:t>The environmental consultant will coordinate holding tank mobilization, waste characterization sampling of accumulated water, and transportation/disposal of contaminated water.</w:t>
      </w:r>
    </w:p>
    <w:p w14:paraId="433436D8" w14:textId="77777777" w:rsidR="00833DA7" w:rsidRDefault="474D3510" w:rsidP="00833DA7">
      <w:pPr>
        <w:pStyle w:val="spParagraph"/>
      </w:pPr>
      <w:r>
        <w:t>Provide a 14 calendar day advance notice of the pre-construction conference date to the environmental consultant. At the pre-construction conference, provide a proposed schedule for all excavation activities in the area of contamination. Three (3) calendar days before commencement of excavation activities in the contaminated area, notify the project engineer and environmental consultant. Coordinate with the environmental consultant to ensure that the consultant is present before and during excavation and dewatering activities in the area of contamination.</w:t>
      </w:r>
    </w:p>
    <w:p w14:paraId="10BDA698" w14:textId="77777777" w:rsidR="00833DA7" w:rsidRPr="00324008" w:rsidRDefault="474D3510" w:rsidP="474D3510">
      <w:pPr>
        <w:pStyle w:val="spParagraph"/>
        <w:rPr>
          <w:rStyle w:val="spHeading"/>
        </w:rPr>
      </w:pPr>
      <w:r w:rsidRPr="474D3510">
        <w:rPr>
          <w:rStyle w:val="spHeading"/>
        </w:rPr>
        <w:t>A.3  Health and Safety Requirements</w:t>
      </w:r>
    </w:p>
    <w:p w14:paraId="609F7CBC" w14:textId="77777777" w:rsidR="00833DA7" w:rsidRPr="00324008" w:rsidRDefault="474D3510" w:rsidP="00833DA7">
      <w:pPr>
        <w:pStyle w:val="spParagraph"/>
      </w:pPr>
      <w:r>
        <w:lastRenderedPageBreak/>
        <w:t>Prepare a site specific Health and Safety Plan complying with the Occupational Safety and Health Administration (OSHA) standard for Hazardous Waste Operation and Emergency Response (HAZWOPER), 29 CFR 1910.120.</w:t>
      </w:r>
    </w:p>
    <w:p w14:paraId="30CD3A49" w14:textId="77777777" w:rsidR="00833DA7" w:rsidRPr="00324008" w:rsidRDefault="474D3510" w:rsidP="00833DA7">
      <w:pPr>
        <w:pStyle w:val="spParagraph"/>
      </w:pPr>
      <w:r>
        <w:t>All site workers taking part in remediation activities or who will have the reasonable probability of exposure of safety or health hazards associated with the hazardous material shall have completed Health and Safety training that meets OSHA requirements. A site specific Health and Safety Plan, and written verification by the contractor that workers will have completed up to date OSHA training will be submitted to the project engineer before the start of remediation work.</w:t>
      </w:r>
    </w:p>
    <w:p w14:paraId="0BFF45F4" w14:textId="77777777" w:rsidR="00833DA7" w:rsidRPr="00324008" w:rsidRDefault="474D3510" w:rsidP="00833DA7">
      <w:pPr>
        <w:pStyle w:val="spParagraph"/>
      </w:pPr>
      <w:r>
        <w:t>Develop, delineate and enforce the health and safety exclusion zones for each contaminated site location pursuant to 29 CFR 1910.120.</w:t>
      </w:r>
    </w:p>
    <w:p w14:paraId="33378912" w14:textId="77777777" w:rsidR="00833DA7" w:rsidRPr="00324008" w:rsidRDefault="474D3510" w:rsidP="474D3510">
      <w:pPr>
        <w:pStyle w:val="spParagraph"/>
        <w:rPr>
          <w:rStyle w:val="spHeading"/>
        </w:rPr>
      </w:pPr>
      <w:r w:rsidRPr="474D3510">
        <w:rPr>
          <w:rStyle w:val="spHeading"/>
        </w:rPr>
        <w:t>B  (Vacant)</w:t>
      </w:r>
    </w:p>
    <w:p w14:paraId="7867E570" w14:textId="77777777" w:rsidR="00833DA7" w:rsidRPr="00E72D69" w:rsidRDefault="474D3510" w:rsidP="474D3510">
      <w:pPr>
        <w:pStyle w:val="spParagraph"/>
        <w:rPr>
          <w:rStyle w:val="spHeading"/>
        </w:rPr>
      </w:pPr>
      <w:r w:rsidRPr="474D3510">
        <w:rPr>
          <w:rStyle w:val="spHeading"/>
        </w:rPr>
        <w:t>C  Construction</w:t>
      </w:r>
    </w:p>
    <w:p w14:paraId="2A773D67" w14:textId="182447E4" w:rsidR="00833DA7" w:rsidRPr="003A06CD" w:rsidRDefault="474D3510" w:rsidP="474D3510">
      <w:pPr>
        <w:pStyle w:val="spUndefined"/>
        <w:rPr>
          <w:rFonts w:cs="Arial"/>
          <w:i/>
          <w:iCs/>
        </w:rPr>
      </w:pPr>
      <w:r w:rsidRPr="474D3510">
        <w:rPr>
          <w:rFonts w:cs="Arial"/>
          <w:i/>
          <w:iCs/>
        </w:rPr>
        <w:t>Add the following to standard spec 205.3:</w:t>
      </w:r>
    </w:p>
    <w:p w14:paraId="458953A8" w14:textId="77777777" w:rsidR="00833DA7" w:rsidRPr="00324008" w:rsidRDefault="474D3510" w:rsidP="00833DA7">
      <w:pPr>
        <w:pStyle w:val="spParagraph"/>
      </w:pPr>
      <w:r>
        <w:t>Pump petroleum contaminated water from open excavations into a temporary holding tank as necessary to complete construction. Contaminated water encountered, but not requiring removal as a standard course of construction, shall remain in-place and not be managed under this special provision.</w:t>
      </w:r>
    </w:p>
    <w:p w14:paraId="584F9399" w14:textId="77777777" w:rsidR="00833DA7" w:rsidRPr="00324008" w:rsidRDefault="474D3510" w:rsidP="00833DA7">
      <w:pPr>
        <w:pStyle w:val="spParagraph"/>
      </w:pPr>
      <w:r>
        <w:t>Take measures to limit groundwater, surface water, and precipitation from entering and exiting excavations in the area of contamination. Such measures, which may include berming, ditching, or other means, shall be maintained until subgrade construction in the area of contamination is complete.</w:t>
      </w:r>
    </w:p>
    <w:p w14:paraId="7C5CE094" w14:textId="77777777" w:rsidR="00833DA7" w:rsidRPr="00E72D69" w:rsidRDefault="474D3510" w:rsidP="474D3510">
      <w:pPr>
        <w:pStyle w:val="spParagraph"/>
        <w:rPr>
          <w:rStyle w:val="spHeading"/>
        </w:rPr>
      </w:pPr>
      <w:r w:rsidRPr="474D3510">
        <w:rPr>
          <w:rStyle w:val="spHeading"/>
        </w:rPr>
        <w:t>D  Measurement</w:t>
      </w:r>
    </w:p>
    <w:p w14:paraId="41E006FB" w14:textId="77777777" w:rsidR="00833DA7" w:rsidRPr="00324008" w:rsidRDefault="474D3510" w:rsidP="00833DA7">
      <w:pPr>
        <w:pStyle w:val="spParagraph"/>
      </w:pPr>
      <w:r>
        <w:t>The department will measure Management of Petroleum Contaminated Water as a single complete unit of work acceptably performed.</w:t>
      </w:r>
    </w:p>
    <w:p w14:paraId="6165D91D" w14:textId="77777777" w:rsidR="00833DA7" w:rsidRPr="00E72D69" w:rsidRDefault="474D3510" w:rsidP="474D3510">
      <w:pPr>
        <w:pStyle w:val="spParagraph"/>
        <w:rPr>
          <w:rStyle w:val="spHeading"/>
        </w:rPr>
      </w:pPr>
      <w:r w:rsidRPr="474D3510">
        <w:rPr>
          <w:rStyle w:val="spHeading"/>
        </w:rPr>
        <w:t>E  Payment</w:t>
      </w:r>
    </w:p>
    <w:p w14:paraId="566F8DB0" w14:textId="77777777" w:rsidR="00833DA7" w:rsidRPr="00324008" w:rsidRDefault="474D3510" w:rsidP="00833DA7">
      <w:pPr>
        <w:pStyle w:val="spParagraph"/>
      </w:pPr>
      <w:r>
        <w:t>The department will pay for measured quantities at the contract unit price under the following bid item:</w:t>
      </w:r>
    </w:p>
    <w:p w14:paraId="3A6A81B0" w14:textId="77777777" w:rsidR="00833DA7" w:rsidRPr="00324008" w:rsidRDefault="00833DA7" w:rsidP="00833DA7">
      <w:pPr>
        <w:pStyle w:val="ssBidItem"/>
      </w:pPr>
      <w:r w:rsidRPr="00324008">
        <w:t>ITEM NUMBER</w:t>
      </w:r>
      <w:r w:rsidRPr="00324008">
        <w:tab/>
        <w:t>DESCRIPTION</w:t>
      </w:r>
      <w:r w:rsidRPr="00324008">
        <w:tab/>
        <w:t>UNIT</w:t>
      </w:r>
    </w:p>
    <w:p w14:paraId="72304096" w14:textId="70C53F5C" w:rsidR="00833DA7" w:rsidRPr="00324008" w:rsidRDefault="00833DA7" w:rsidP="00833DA7">
      <w:pPr>
        <w:pStyle w:val="ssBidItem"/>
      </w:pPr>
      <w:r w:rsidRPr="00324008">
        <w:t>SPV.0</w:t>
      </w:r>
      <w:r w:rsidR="00BB10B8">
        <w:t>060</w:t>
      </w:r>
      <w:r w:rsidRPr="00324008">
        <w:t>.</w:t>
      </w:r>
      <w:r>
        <w:fldChar w:fldCharType="begin">
          <w:ffData>
            <w:name w:val="Text429"/>
            <w:enabled/>
            <w:calcOnExit w:val="0"/>
            <w:textInput>
              <w:default w:val="##"/>
            </w:textInput>
          </w:ffData>
        </w:fldChar>
      </w:r>
      <w:bookmarkStart w:id="3" w:name="Text429"/>
      <w:r>
        <w:instrText xml:space="preserve"> FORMTEXT </w:instrText>
      </w:r>
      <w:r>
        <w:fldChar w:fldCharType="separate"/>
      </w:r>
      <w:r>
        <w:t>##</w:t>
      </w:r>
      <w:r>
        <w:fldChar w:fldCharType="end"/>
      </w:r>
      <w:bookmarkEnd w:id="3"/>
      <w:r w:rsidRPr="00324008">
        <w:tab/>
        <w:t xml:space="preserve">Management of Petroleum Contaminated </w:t>
      </w:r>
      <w:r w:rsidR="474D3510">
        <w:t>Water</w:t>
      </w:r>
      <w:r w:rsidR="00BB10B8">
        <w:tab/>
        <w:t>EACH</w:t>
      </w:r>
    </w:p>
    <w:p w14:paraId="2CA6B4D8" w14:textId="77777777" w:rsidR="00833DA7" w:rsidRPr="00324008" w:rsidRDefault="474D3510" w:rsidP="00833DA7">
      <w:pPr>
        <w:pStyle w:val="spParagraph"/>
      </w:pPr>
      <w:r>
        <w:t>Payment is full compensation for controlling contaminated water and preventing non-contaminated surface water and precipitation from entering the areas of contamination; and for managing and pumping petroleum contaminated water from excavations in the area of contamination to the temporary holding tank.</w:t>
      </w:r>
    </w:p>
    <w:p w14:paraId="0605B365" w14:textId="503A690F" w:rsidR="009E7596" w:rsidRDefault="474D3510" w:rsidP="009E7596">
      <w:pPr>
        <w:pStyle w:val="spVersion"/>
      </w:pPr>
      <w:r>
        <w:t>ner-107-100 (</w:t>
      </w:r>
      <w:r w:rsidR="00F30EC0">
        <w:t>20</w:t>
      </w:r>
      <w:r w:rsidR="00BB10B8">
        <w:t>21</w:t>
      </w:r>
      <w:r w:rsidR="00F30EC0">
        <w:t>0</w:t>
      </w:r>
      <w:r w:rsidR="00BB10B8">
        <w:t>7</w:t>
      </w:r>
      <w:r w:rsidR="00F30EC0">
        <w:t>1</w:t>
      </w:r>
      <w:r w:rsidR="00BB10B8">
        <w:t>6</w:t>
      </w:r>
      <w:r>
        <w:t>)</w:t>
      </w:r>
    </w:p>
    <w:sectPr w:rsidR="009E7596"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A2ED" w14:textId="77777777" w:rsidR="00126720" w:rsidRDefault="00126720">
      <w:r>
        <w:separator/>
      </w:r>
    </w:p>
    <w:p w14:paraId="2F6F2116" w14:textId="77777777" w:rsidR="00126720" w:rsidRDefault="00126720"/>
    <w:p w14:paraId="55550B4E" w14:textId="77777777" w:rsidR="00126720" w:rsidRDefault="00126720"/>
    <w:p w14:paraId="3A9F7FA9" w14:textId="77777777" w:rsidR="00126720" w:rsidRDefault="00126720"/>
    <w:p w14:paraId="13F14572" w14:textId="77777777" w:rsidR="00126720" w:rsidRDefault="00126720"/>
    <w:p w14:paraId="2A01F218" w14:textId="77777777" w:rsidR="00126720" w:rsidRDefault="00126720"/>
    <w:p w14:paraId="27B147BB" w14:textId="77777777" w:rsidR="00126720" w:rsidRDefault="00126720"/>
    <w:p w14:paraId="57198F93" w14:textId="77777777" w:rsidR="00126720" w:rsidRDefault="00126720"/>
    <w:p w14:paraId="0AA5CE8D" w14:textId="77777777" w:rsidR="00126720" w:rsidRDefault="00126720"/>
  </w:endnote>
  <w:endnote w:type="continuationSeparator" w:id="0">
    <w:p w14:paraId="731487DC" w14:textId="77777777" w:rsidR="00126720" w:rsidRDefault="00126720">
      <w:r>
        <w:continuationSeparator/>
      </w:r>
    </w:p>
    <w:p w14:paraId="75AD0166" w14:textId="77777777" w:rsidR="00126720" w:rsidRDefault="00126720"/>
    <w:p w14:paraId="091B9746" w14:textId="77777777" w:rsidR="00126720" w:rsidRDefault="00126720"/>
    <w:p w14:paraId="02871D98" w14:textId="77777777" w:rsidR="00126720" w:rsidRDefault="00126720"/>
    <w:p w14:paraId="1486F66F" w14:textId="77777777" w:rsidR="00126720" w:rsidRDefault="00126720"/>
    <w:p w14:paraId="18A8CC3B" w14:textId="77777777" w:rsidR="00126720" w:rsidRDefault="00126720"/>
    <w:p w14:paraId="1EAFBDFD" w14:textId="77777777" w:rsidR="00126720" w:rsidRDefault="00126720"/>
    <w:p w14:paraId="5718627C" w14:textId="77777777" w:rsidR="00126720" w:rsidRDefault="00126720"/>
    <w:p w14:paraId="5D870523" w14:textId="77777777" w:rsidR="00126720" w:rsidRDefault="00126720"/>
  </w:endnote>
  <w:endnote w:type="continuationNotice" w:id="1">
    <w:p w14:paraId="7D066F91" w14:textId="77777777" w:rsidR="00126720" w:rsidRDefault="00126720"/>
    <w:p w14:paraId="7AF315E4" w14:textId="77777777" w:rsidR="00126720" w:rsidRDefault="00126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6659" w14:textId="77777777" w:rsidR="00D811EA" w:rsidRDefault="00D8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F622" w14:textId="0522B22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30EC0">
          <w:rPr>
            <w:noProof/>
          </w:rPr>
          <w:t>1</w:t>
        </w:r>
        <w:r>
          <w:rPr>
            <w:noProof/>
          </w:rPr>
          <w:fldChar w:fldCharType="end"/>
        </w:r>
        <w:r>
          <w:t xml:space="preserve"> of </w:t>
        </w:r>
        <w:fldSimple w:instr=" NUMPAGES  ">
          <w:r w:rsidR="00F30EC0">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C7B" w14:textId="77777777" w:rsidR="00D811EA" w:rsidRDefault="00D8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3D7BC" w14:textId="77777777" w:rsidR="00126720" w:rsidRDefault="00126720">
      <w:r>
        <w:separator/>
      </w:r>
    </w:p>
    <w:p w14:paraId="50B7F467" w14:textId="77777777" w:rsidR="00126720" w:rsidRDefault="00126720"/>
    <w:p w14:paraId="3C27FA98" w14:textId="77777777" w:rsidR="00126720" w:rsidRDefault="00126720"/>
    <w:p w14:paraId="64C577A0" w14:textId="77777777" w:rsidR="00126720" w:rsidRDefault="00126720"/>
    <w:p w14:paraId="068B303C" w14:textId="77777777" w:rsidR="00126720" w:rsidRDefault="00126720"/>
    <w:p w14:paraId="24C631FC" w14:textId="77777777" w:rsidR="00126720" w:rsidRDefault="00126720"/>
    <w:p w14:paraId="62784F43" w14:textId="77777777" w:rsidR="00126720" w:rsidRDefault="00126720"/>
    <w:p w14:paraId="3C859874" w14:textId="77777777" w:rsidR="00126720" w:rsidRDefault="00126720"/>
    <w:p w14:paraId="6C366F2F" w14:textId="77777777" w:rsidR="00126720" w:rsidRDefault="00126720"/>
  </w:footnote>
  <w:footnote w:type="continuationSeparator" w:id="0">
    <w:p w14:paraId="5DE07318" w14:textId="77777777" w:rsidR="00126720" w:rsidRDefault="00126720">
      <w:r>
        <w:continuationSeparator/>
      </w:r>
    </w:p>
    <w:p w14:paraId="06AC4A58" w14:textId="77777777" w:rsidR="00126720" w:rsidRDefault="00126720"/>
    <w:p w14:paraId="1AACD7A8" w14:textId="77777777" w:rsidR="00126720" w:rsidRDefault="00126720"/>
    <w:p w14:paraId="73D9F8A8" w14:textId="77777777" w:rsidR="00126720" w:rsidRDefault="00126720"/>
    <w:p w14:paraId="0C2540D1" w14:textId="77777777" w:rsidR="00126720" w:rsidRDefault="00126720"/>
    <w:p w14:paraId="0C34481A" w14:textId="77777777" w:rsidR="00126720" w:rsidRDefault="00126720"/>
    <w:p w14:paraId="4CBECD6F" w14:textId="77777777" w:rsidR="00126720" w:rsidRDefault="00126720"/>
    <w:p w14:paraId="4EDBF9CF" w14:textId="77777777" w:rsidR="00126720" w:rsidRDefault="00126720"/>
    <w:p w14:paraId="680B55E9" w14:textId="77777777" w:rsidR="00126720" w:rsidRDefault="00126720"/>
  </w:footnote>
  <w:footnote w:type="continuationNotice" w:id="1">
    <w:p w14:paraId="0E1B41FF" w14:textId="77777777" w:rsidR="00126720" w:rsidRDefault="00126720"/>
    <w:p w14:paraId="46BF84DD" w14:textId="77777777" w:rsidR="00126720" w:rsidRDefault="00126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378F" w14:textId="77777777" w:rsidR="00D811EA" w:rsidRDefault="00D8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501D" w14:textId="77777777" w:rsidR="00D811EA" w:rsidRDefault="00D8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1DE4" w14:textId="77777777" w:rsidR="009E7596" w:rsidRDefault="474D3510" w:rsidP="009E7596">
    <w:pPr>
      <w:pStyle w:val="Header"/>
    </w:pPr>
    <w:r>
      <w:t>Contractor use of municipal sewer system is preferred. Use this article only if that is not an option. Contact Environmental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A7"/>
    <w:rsid w:val="00000E3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0F36"/>
    <w:rsid w:val="00124384"/>
    <w:rsid w:val="00125F1A"/>
    <w:rsid w:val="001266AD"/>
    <w:rsid w:val="00126720"/>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36E8B"/>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3DA7"/>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E7596"/>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10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0525"/>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11EA"/>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EC0"/>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474D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22780"/>
  <w15:docId w15:val="{6D7EACEF-C296-4BBA-A5DE-1BF9FFD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BB10B8"/>
  </w:style>
  <w:style w:type="paragraph" w:styleId="Heading1">
    <w:name w:val="heading 1"/>
    <w:basedOn w:val="Normal"/>
    <w:next w:val="Normal"/>
    <w:link w:val="Heading1Char"/>
    <w:uiPriority w:val="99"/>
    <w:semiHidden/>
    <w:rsid w:val="00BB10B8"/>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BB10B8"/>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BB10B8"/>
    <w:pPr>
      <w:outlineLvl w:val="2"/>
    </w:pPr>
    <w:rPr>
      <w:rFonts w:eastAsiaTheme="majorEastAsia" w:cstheme="majorBidi"/>
      <w:b/>
      <w:bCs/>
    </w:rPr>
  </w:style>
  <w:style w:type="paragraph" w:styleId="Heading4">
    <w:name w:val="heading 4"/>
    <w:basedOn w:val="Normal"/>
    <w:next w:val="Normal"/>
    <w:link w:val="Heading4Char"/>
    <w:uiPriority w:val="99"/>
    <w:semiHidden/>
    <w:rsid w:val="00BB10B8"/>
    <w:pPr>
      <w:outlineLvl w:val="3"/>
    </w:pPr>
    <w:rPr>
      <w:rFonts w:eastAsiaTheme="majorEastAsia" w:cstheme="majorBidi"/>
      <w:b/>
      <w:iCs/>
    </w:rPr>
  </w:style>
  <w:style w:type="paragraph" w:styleId="Heading5">
    <w:name w:val="heading 5"/>
    <w:basedOn w:val="Normal"/>
    <w:next w:val="Normal"/>
    <w:link w:val="Heading5Char"/>
    <w:uiPriority w:val="99"/>
    <w:semiHidden/>
    <w:rsid w:val="00BB10B8"/>
    <w:pPr>
      <w:outlineLvl w:val="4"/>
    </w:pPr>
    <w:rPr>
      <w:rFonts w:eastAsiaTheme="majorEastAsia" w:cstheme="majorBidi"/>
      <w:b/>
    </w:rPr>
  </w:style>
  <w:style w:type="paragraph" w:styleId="Heading6">
    <w:name w:val="heading 6"/>
    <w:basedOn w:val="Normal"/>
    <w:next w:val="Normal"/>
    <w:link w:val="Heading6Char"/>
    <w:uiPriority w:val="99"/>
    <w:semiHidden/>
    <w:rsid w:val="00BB10B8"/>
    <w:pPr>
      <w:outlineLvl w:val="5"/>
    </w:pPr>
    <w:rPr>
      <w:rFonts w:eastAsiaTheme="majorEastAsia" w:cstheme="majorBidi"/>
      <w:b/>
    </w:rPr>
  </w:style>
  <w:style w:type="paragraph" w:styleId="Heading7">
    <w:name w:val="heading 7"/>
    <w:basedOn w:val="Normal"/>
    <w:next w:val="Normal"/>
    <w:link w:val="Heading7Char"/>
    <w:uiPriority w:val="99"/>
    <w:semiHidden/>
    <w:rsid w:val="00BB10B8"/>
    <w:pPr>
      <w:outlineLvl w:val="6"/>
    </w:pPr>
    <w:rPr>
      <w:rFonts w:eastAsiaTheme="majorEastAsia" w:cstheme="majorBidi"/>
      <w:b/>
      <w:iCs/>
    </w:rPr>
  </w:style>
  <w:style w:type="paragraph" w:styleId="Heading8">
    <w:name w:val="heading 8"/>
    <w:basedOn w:val="Normal"/>
    <w:next w:val="Normal"/>
    <w:link w:val="Heading8Char"/>
    <w:uiPriority w:val="99"/>
    <w:semiHidden/>
    <w:rsid w:val="00BB10B8"/>
    <w:pPr>
      <w:outlineLvl w:val="7"/>
    </w:pPr>
    <w:rPr>
      <w:rFonts w:eastAsiaTheme="majorEastAsia" w:cstheme="majorBidi"/>
      <w:b/>
      <w:szCs w:val="21"/>
    </w:rPr>
  </w:style>
  <w:style w:type="paragraph" w:styleId="Heading9">
    <w:name w:val="heading 9"/>
    <w:basedOn w:val="Normal"/>
    <w:next w:val="Normal"/>
    <w:link w:val="Heading9Char"/>
    <w:uiPriority w:val="99"/>
    <w:semiHidden/>
    <w:rsid w:val="00BB10B8"/>
    <w:pPr>
      <w:outlineLvl w:val="8"/>
    </w:pPr>
    <w:rPr>
      <w:rFonts w:eastAsiaTheme="majorEastAsia" w:cstheme="majorBidi"/>
      <w:b/>
      <w:iCs/>
      <w:szCs w:val="21"/>
    </w:rPr>
  </w:style>
  <w:style w:type="character" w:default="1" w:styleId="DefaultParagraphFont">
    <w:name w:val="Default Paragraph Font"/>
    <w:uiPriority w:val="1"/>
    <w:semiHidden/>
    <w:unhideWhenUsed/>
    <w:rsid w:val="00BB10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10B8"/>
  </w:style>
  <w:style w:type="character" w:customStyle="1" w:styleId="Heading1Char">
    <w:name w:val="Heading 1 Char"/>
    <w:basedOn w:val="DefaultParagraphFont"/>
    <w:link w:val="Heading1"/>
    <w:uiPriority w:val="99"/>
    <w:semiHidden/>
    <w:rsid w:val="00BB10B8"/>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BB10B8"/>
    <w:rPr>
      <w:rFonts w:eastAsiaTheme="majorEastAsia" w:cstheme="majorBidi"/>
      <w:b/>
      <w:bCs/>
      <w:szCs w:val="26"/>
    </w:rPr>
  </w:style>
  <w:style w:type="character" w:customStyle="1" w:styleId="Heading3Char">
    <w:name w:val="Heading 3 Char"/>
    <w:basedOn w:val="DefaultParagraphFont"/>
    <w:link w:val="Heading3"/>
    <w:uiPriority w:val="99"/>
    <w:semiHidden/>
    <w:rsid w:val="00BB10B8"/>
    <w:rPr>
      <w:rFonts w:eastAsiaTheme="majorEastAsia" w:cstheme="majorBidi"/>
      <w:b/>
      <w:bCs/>
    </w:rPr>
  </w:style>
  <w:style w:type="paragraph" w:styleId="TOCHeading">
    <w:name w:val="TOC Heading"/>
    <w:basedOn w:val="Heading1"/>
    <w:next w:val="Normal"/>
    <w:uiPriority w:val="99"/>
    <w:semiHidden/>
    <w:unhideWhenUsed/>
    <w:qFormat/>
    <w:rsid w:val="00BB10B8"/>
    <w:pPr>
      <w:outlineLvl w:val="9"/>
    </w:pPr>
  </w:style>
  <w:style w:type="paragraph" w:styleId="BalloonText">
    <w:name w:val="Balloon Text"/>
    <w:basedOn w:val="Normal"/>
    <w:link w:val="BalloonTextChar"/>
    <w:uiPriority w:val="99"/>
    <w:semiHidden/>
    <w:unhideWhenUsed/>
    <w:rsid w:val="00BB10B8"/>
    <w:rPr>
      <w:rFonts w:ascii="Tahoma" w:hAnsi="Tahoma" w:cs="Tahoma"/>
      <w:sz w:val="16"/>
      <w:szCs w:val="16"/>
    </w:rPr>
  </w:style>
  <w:style w:type="character" w:customStyle="1" w:styleId="BalloonTextChar">
    <w:name w:val="Balloon Text Char"/>
    <w:basedOn w:val="DefaultParagraphFont"/>
    <w:link w:val="BalloonText"/>
    <w:uiPriority w:val="99"/>
    <w:semiHidden/>
    <w:rsid w:val="00BB10B8"/>
    <w:rPr>
      <w:rFonts w:ascii="Tahoma" w:hAnsi="Tahoma" w:cs="Tahoma"/>
      <w:sz w:val="16"/>
      <w:szCs w:val="16"/>
    </w:rPr>
  </w:style>
  <w:style w:type="paragraph" w:styleId="Footer">
    <w:name w:val="footer"/>
    <w:basedOn w:val="Normal"/>
    <w:link w:val="FooterChar"/>
    <w:uiPriority w:val="99"/>
    <w:rsid w:val="00BB10B8"/>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BB10B8"/>
    <w:rPr>
      <w:sz w:val="18"/>
    </w:rPr>
  </w:style>
  <w:style w:type="paragraph" w:styleId="TOC1">
    <w:name w:val="toc 1"/>
    <w:basedOn w:val="Normal"/>
    <w:next w:val="Normal"/>
    <w:autoRedefine/>
    <w:uiPriority w:val="39"/>
    <w:qFormat/>
    <w:rsid w:val="00BB10B8"/>
    <w:pPr>
      <w:tabs>
        <w:tab w:val="right" w:leader="dot" w:pos="9288"/>
      </w:tabs>
      <w:ind w:right="720" w:hanging="720"/>
    </w:pPr>
  </w:style>
  <w:style w:type="paragraph" w:customStyle="1" w:styleId="1Heading1">
    <w:name w:val="1 Heading 1"/>
    <w:basedOn w:val="Normal"/>
    <w:link w:val="1Heading1Char"/>
    <w:uiPriority w:val="1"/>
    <w:qFormat/>
    <w:rsid w:val="00BB10B8"/>
    <w:pPr>
      <w:numPr>
        <w:numId w:val="1"/>
      </w:numPr>
      <w:spacing w:before="240"/>
      <w:ind w:left="0" w:hanging="720"/>
      <w:outlineLvl w:val="0"/>
    </w:pPr>
    <w:rPr>
      <w:b/>
      <w:sz w:val="22"/>
      <w:szCs w:val="28"/>
    </w:rPr>
  </w:style>
  <w:style w:type="character" w:styleId="Hyperlink">
    <w:name w:val="Hyperlink"/>
    <w:basedOn w:val="DefaultParagraphFont"/>
    <w:uiPriority w:val="99"/>
    <w:rsid w:val="00BB10B8"/>
    <w:rPr>
      <w:color w:val="0000FF" w:themeColor="hyperlink"/>
      <w:u w:val="single"/>
    </w:rPr>
  </w:style>
  <w:style w:type="character" w:styleId="PlaceholderText">
    <w:name w:val="Placeholder Text"/>
    <w:basedOn w:val="DefaultParagraphFont"/>
    <w:uiPriority w:val="99"/>
    <w:rsid w:val="00BB10B8"/>
    <w:rPr>
      <w:b/>
      <w:i/>
      <w:color w:val="C00000"/>
      <w:u w:val="single"/>
    </w:rPr>
  </w:style>
  <w:style w:type="table" w:styleId="TableGrid">
    <w:name w:val="Table Grid"/>
    <w:basedOn w:val="TableNormal"/>
    <w:uiPriority w:val="59"/>
    <w:rsid w:val="00BB10B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BB10B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BB10B8"/>
    <w:rPr>
      <w:rFonts w:ascii="Courier New" w:eastAsia="Times New Roman" w:hAnsi="Courier New"/>
    </w:rPr>
  </w:style>
  <w:style w:type="paragraph" w:styleId="BodyTextIndent">
    <w:name w:val="Body Text Indent"/>
    <w:basedOn w:val="Normal"/>
    <w:link w:val="BodyTextIndentChar"/>
    <w:uiPriority w:val="99"/>
    <w:semiHidden/>
    <w:rsid w:val="00BB10B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BB10B8"/>
    <w:rPr>
      <w:rFonts w:eastAsia="Times New Roman"/>
      <w:spacing w:val="-2"/>
    </w:rPr>
  </w:style>
  <w:style w:type="table" w:styleId="TableGrid1">
    <w:name w:val="Table Grid 1"/>
    <w:basedOn w:val="TableNormal"/>
    <w:uiPriority w:val="99"/>
    <w:semiHidden/>
    <w:unhideWhenUsed/>
    <w:rsid w:val="00BB10B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BB10B8"/>
    <w:pPr>
      <w:numPr>
        <w:numId w:val="25"/>
      </w:numPr>
    </w:pPr>
  </w:style>
  <w:style w:type="paragraph" w:styleId="DocumentMap">
    <w:name w:val="Document Map"/>
    <w:basedOn w:val="Normal"/>
    <w:link w:val="DocumentMapChar"/>
    <w:uiPriority w:val="99"/>
    <w:semiHidden/>
    <w:unhideWhenUsed/>
    <w:rsid w:val="00BB10B8"/>
    <w:rPr>
      <w:rFonts w:ascii="Tahoma" w:hAnsi="Tahoma" w:cs="Tahoma"/>
      <w:sz w:val="16"/>
      <w:szCs w:val="16"/>
    </w:rPr>
  </w:style>
  <w:style w:type="character" w:customStyle="1" w:styleId="DocumentMapChar">
    <w:name w:val="Document Map Char"/>
    <w:basedOn w:val="DefaultParagraphFont"/>
    <w:link w:val="DocumentMap"/>
    <w:uiPriority w:val="99"/>
    <w:semiHidden/>
    <w:rsid w:val="00BB10B8"/>
    <w:rPr>
      <w:rFonts w:ascii="Tahoma" w:hAnsi="Tahoma" w:cs="Tahoma"/>
      <w:sz w:val="16"/>
      <w:szCs w:val="16"/>
    </w:rPr>
  </w:style>
  <w:style w:type="paragraph" w:customStyle="1" w:styleId="ssBidItem">
    <w:name w:val="ssBidItem"/>
    <w:basedOn w:val="spParagraph"/>
    <w:uiPriority w:val="9"/>
    <w:rsid w:val="00BB10B8"/>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B10B8"/>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BB10B8"/>
    <w:pPr>
      <w:spacing w:after="0"/>
    </w:pPr>
    <w:rPr>
      <w:rFonts w:ascii="Times New Roman" w:hAnsi="Times New Roman" w:cs="Times New Roman"/>
      <w:sz w:val="24"/>
      <w:szCs w:val="24"/>
    </w:rPr>
  </w:style>
  <w:style w:type="paragraph" w:customStyle="1" w:styleId="spNumList1">
    <w:name w:val="spNumList1"/>
    <w:basedOn w:val="spSmall"/>
    <w:uiPriority w:val="2"/>
    <w:rsid w:val="00BB10B8"/>
    <w:pPr>
      <w:ind w:left="720" w:hanging="360"/>
    </w:pPr>
    <w:rPr>
      <w:rFonts w:eastAsia="Times New Roman" w:cs="Times New Roman"/>
      <w:szCs w:val="20"/>
    </w:rPr>
  </w:style>
  <w:style w:type="paragraph" w:customStyle="1" w:styleId="ssParagraph">
    <w:name w:val="ssParagraph"/>
    <w:basedOn w:val="spParagraph"/>
    <w:uiPriority w:val="8"/>
    <w:rsid w:val="00BB10B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BB10B8"/>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BB10B8"/>
    <w:pPr>
      <w:ind w:left="0"/>
    </w:pPr>
    <w:rPr>
      <w:szCs w:val="24"/>
    </w:rPr>
  </w:style>
  <w:style w:type="paragraph" w:customStyle="1" w:styleId="spTable">
    <w:name w:val="spTable"/>
    <w:basedOn w:val="spSmall"/>
    <w:uiPriority w:val="5"/>
    <w:rsid w:val="00BB10B8"/>
    <w:pPr>
      <w:keepNext/>
      <w:ind w:left="0"/>
      <w:jc w:val="center"/>
    </w:pPr>
    <w:rPr>
      <w:szCs w:val="22"/>
    </w:rPr>
  </w:style>
  <w:style w:type="paragraph" w:customStyle="1" w:styleId="spSmall">
    <w:name w:val="spSmall"/>
    <w:basedOn w:val="spParagraph"/>
    <w:uiPriority w:val="3"/>
    <w:rsid w:val="00BB10B8"/>
    <w:pPr>
      <w:spacing w:before="60" w:after="60"/>
      <w:ind w:left="360"/>
    </w:pPr>
    <w:rPr>
      <w:sz w:val="18"/>
    </w:rPr>
  </w:style>
  <w:style w:type="character" w:customStyle="1" w:styleId="ssParagraphNumber">
    <w:name w:val="ssParagraphNumber"/>
    <w:basedOn w:val="DefaultParagraphFont"/>
    <w:uiPriority w:val="6"/>
    <w:rsid w:val="00BB10B8"/>
    <w:rPr>
      <w:sz w:val="12"/>
    </w:rPr>
  </w:style>
  <w:style w:type="character" w:customStyle="1" w:styleId="1Heading1Char">
    <w:name w:val="1 Heading 1 Char"/>
    <w:basedOn w:val="DefaultParagraphFont"/>
    <w:link w:val="1Heading1"/>
    <w:uiPriority w:val="1"/>
    <w:rsid w:val="00BB10B8"/>
    <w:rPr>
      <w:b/>
      <w:sz w:val="22"/>
      <w:szCs w:val="28"/>
    </w:rPr>
  </w:style>
  <w:style w:type="paragraph" w:customStyle="1" w:styleId="spParagraph">
    <w:name w:val="spParagraph"/>
    <w:uiPriority w:val="1"/>
    <w:rsid w:val="00BB10B8"/>
    <w:rPr>
      <w:szCs w:val="28"/>
    </w:rPr>
  </w:style>
  <w:style w:type="paragraph" w:customStyle="1" w:styleId="spTableTitle">
    <w:name w:val="spTableTitle"/>
    <w:basedOn w:val="spTable"/>
    <w:uiPriority w:val="4"/>
    <w:rsid w:val="00BB10B8"/>
    <w:pPr>
      <w:spacing w:before="120"/>
    </w:pPr>
    <w:rPr>
      <w:b/>
    </w:rPr>
  </w:style>
  <w:style w:type="paragraph" w:styleId="TOC2">
    <w:name w:val="toc 2"/>
    <w:basedOn w:val="Normal"/>
    <w:next w:val="Normal"/>
    <w:autoRedefine/>
    <w:uiPriority w:val="99"/>
    <w:semiHidden/>
    <w:qFormat/>
    <w:rsid w:val="00BB10B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BB10B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BB10B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BB10B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BB10B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BB10B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BB10B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BB10B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BB10B8"/>
    <w:rPr>
      <w:rFonts w:cs="Times New Roman"/>
      <w:bCs/>
      <w:noProof/>
      <w:szCs w:val="28"/>
    </w:rPr>
  </w:style>
  <w:style w:type="paragraph" w:customStyle="1" w:styleId="spEOF">
    <w:name w:val="spEOF"/>
    <w:autoRedefine/>
    <w:uiPriority w:val="11"/>
    <w:semiHidden/>
    <w:rsid w:val="00BB10B8"/>
    <w:pPr>
      <w:spacing w:after="0"/>
      <w:jc w:val="center"/>
    </w:pPr>
    <w:rPr>
      <w:rFonts w:cs="Times New Roman"/>
      <w:b/>
      <w:color w:val="7030A0"/>
      <w:sz w:val="40"/>
      <w:szCs w:val="24"/>
    </w:rPr>
  </w:style>
  <w:style w:type="character" w:customStyle="1" w:styleId="spHeading">
    <w:name w:val="spHeading"/>
    <w:basedOn w:val="DefaultParagraphFont"/>
    <w:uiPriority w:val="1"/>
    <w:rsid w:val="00BB10B8"/>
    <w:rPr>
      <w:b/>
    </w:rPr>
  </w:style>
  <w:style w:type="paragraph" w:customStyle="1" w:styleId="wiWebLink">
    <w:name w:val="wiWebLink"/>
    <w:basedOn w:val="Normal"/>
    <w:uiPriority w:val="5"/>
    <w:rsid w:val="00BB10B8"/>
    <w:pPr>
      <w:widowControl w:val="0"/>
      <w:spacing w:after="60"/>
      <w:jc w:val="center"/>
    </w:pPr>
    <w:rPr>
      <w:rFonts w:eastAsia="Times New Roman"/>
      <w:sz w:val="18"/>
      <w:u w:val="single"/>
    </w:rPr>
  </w:style>
  <w:style w:type="paragraph" w:customStyle="1" w:styleId="spNumList2">
    <w:name w:val="spNumList2"/>
    <w:basedOn w:val="spNumList1"/>
    <w:uiPriority w:val="2"/>
    <w:rsid w:val="00BB10B8"/>
    <w:pPr>
      <w:ind w:left="1296" w:hanging="432"/>
    </w:pPr>
  </w:style>
  <w:style w:type="paragraph" w:customStyle="1" w:styleId="spNumList3">
    <w:name w:val="spNumList3"/>
    <w:basedOn w:val="spNumList1"/>
    <w:uiPriority w:val="2"/>
    <w:rsid w:val="00BB10B8"/>
    <w:pPr>
      <w:ind w:left="1872" w:hanging="576"/>
    </w:pPr>
  </w:style>
  <w:style w:type="paragraph" w:customStyle="1" w:styleId="STSP">
    <w:name w:val="STSP"/>
    <w:link w:val="STSPChar"/>
    <w:uiPriority w:val="19"/>
    <w:qFormat/>
    <w:rsid w:val="00BB10B8"/>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BB10B8"/>
    <w:rPr>
      <w:rFonts w:cs="Times New Roman"/>
      <w:sz w:val="18"/>
      <w:szCs w:val="24"/>
    </w:rPr>
  </w:style>
  <w:style w:type="paragraph" w:customStyle="1" w:styleId="STSPtable">
    <w:name w:val="STSP table"/>
    <w:basedOn w:val="Normal"/>
    <w:uiPriority w:val="19"/>
    <w:semiHidden/>
    <w:rsid w:val="00BB10B8"/>
    <w:pPr>
      <w:spacing w:before="0" w:after="0"/>
      <w:jc w:val="center"/>
    </w:pPr>
    <w:rPr>
      <w:rFonts w:cs="Times New Roman"/>
      <w:sz w:val="18"/>
      <w:szCs w:val="22"/>
    </w:rPr>
  </w:style>
  <w:style w:type="paragraph" w:customStyle="1" w:styleId="Table">
    <w:name w:val="Table"/>
    <w:basedOn w:val="Normal"/>
    <w:uiPriority w:val="19"/>
    <w:semiHidden/>
    <w:rsid w:val="00BB10B8"/>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BB10B8"/>
    <w:rPr>
      <w:rFonts w:eastAsiaTheme="majorEastAsia" w:cstheme="majorBidi"/>
      <w:b/>
      <w:iCs/>
    </w:rPr>
  </w:style>
  <w:style w:type="character" w:customStyle="1" w:styleId="Heading5Char">
    <w:name w:val="Heading 5 Char"/>
    <w:basedOn w:val="DefaultParagraphFont"/>
    <w:link w:val="Heading5"/>
    <w:uiPriority w:val="99"/>
    <w:semiHidden/>
    <w:rsid w:val="00BB10B8"/>
    <w:rPr>
      <w:rFonts w:eastAsiaTheme="majorEastAsia" w:cstheme="majorBidi"/>
      <w:b/>
    </w:rPr>
  </w:style>
  <w:style w:type="character" w:customStyle="1" w:styleId="Heading6Char">
    <w:name w:val="Heading 6 Char"/>
    <w:basedOn w:val="DefaultParagraphFont"/>
    <w:link w:val="Heading6"/>
    <w:uiPriority w:val="99"/>
    <w:semiHidden/>
    <w:rsid w:val="00BB10B8"/>
    <w:rPr>
      <w:rFonts w:eastAsiaTheme="majorEastAsia" w:cstheme="majorBidi"/>
      <w:b/>
    </w:rPr>
  </w:style>
  <w:style w:type="character" w:customStyle="1" w:styleId="Heading7Char">
    <w:name w:val="Heading 7 Char"/>
    <w:basedOn w:val="DefaultParagraphFont"/>
    <w:link w:val="Heading7"/>
    <w:uiPriority w:val="99"/>
    <w:semiHidden/>
    <w:rsid w:val="00BB10B8"/>
    <w:rPr>
      <w:rFonts w:eastAsiaTheme="majorEastAsia" w:cstheme="majorBidi"/>
      <w:b/>
      <w:iCs/>
    </w:rPr>
  </w:style>
  <w:style w:type="character" w:customStyle="1" w:styleId="Heading8Char">
    <w:name w:val="Heading 8 Char"/>
    <w:basedOn w:val="DefaultParagraphFont"/>
    <w:link w:val="Heading8"/>
    <w:uiPriority w:val="99"/>
    <w:semiHidden/>
    <w:rsid w:val="00BB10B8"/>
    <w:rPr>
      <w:rFonts w:eastAsiaTheme="majorEastAsia" w:cstheme="majorBidi"/>
      <w:b/>
      <w:szCs w:val="21"/>
    </w:rPr>
  </w:style>
  <w:style w:type="character" w:customStyle="1" w:styleId="Heading9Char">
    <w:name w:val="Heading 9 Char"/>
    <w:basedOn w:val="DefaultParagraphFont"/>
    <w:link w:val="Heading9"/>
    <w:uiPriority w:val="99"/>
    <w:semiHidden/>
    <w:rsid w:val="00BB10B8"/>
    <w:rPr>
      <w:rFonts w:eastAsiaTheme="majorEastAsia" w:cstheme="majorBidi"/>
      <w:b/>
      <w:iCs/>
      <w:szCs w:val="21"/>
    </w:rPr>
  </w:style>
  <w:style w:type="paragraph" w:styleId="Header">
    <w:name w:val="header"/>
    <w:basedOn w:val="Normal"/>
    <w:link w:val="HeaderChar"/>
    <w:uiPriority w:val="99"/>
    <w:semiHidden/>
    <w:rsid w:val="00BB10B8"/>
  </w:style>
  <w:style w:type="character" w:customStyle="1" w:styleId="HeaderChar">
    <w:name w:val="Header Char"/>
    <w:basedOn w:val="DefaultParagraphFont"/>
    <w:link w:val="Header"/>
    <w:uiPriority w:val="99"/>
    <w:semiHidden/>
    <w:rsid w:val="00BB10B8"/>
  </w:style>
  <w:style w:type="character" w:customStyle="1" w:styleId="TextField">
    <w:name w:val="Text Field"/>
    <w:basedOn w:val="DefaultParagraphFont"/>
    <w:uiPriority w:val="1"/>
    <w:rsid w:val="00BB10B8"/>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18552305">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7991157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4388-6B39-4699-9108-A4A61F7C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52D0B994-BF3A-4A0B-9A78-50269ECA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2</Pages>
  <Words>877</Words>
  <Characters>5005</Characters>
  <Application>Microsoft Office Word</Application>
  <DocSecurity>0</DocSecurity>
  <Lines>41</Lines>
  <Paragraphs>11</Paragraphs>
  <ScaleCrop>false</ScaleCrop>
  <Company>WisDOT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Management of Petroleum Contaminated Water</dc:title>
  <dc:subject/>
  <dc:creator>NER</dc:creator>
  <cp:keywords>Haz Mat</cp:keywords>
  <cp:lastModifiedBy>MARSH, JODI L</cp:lastModifiedBy>
  <cp:revision>6</cp:revision>
  <cp:lastPrinted>2013-06-26T16:11:00Z</cp:lastPrinted>
  <dcterms:created xsi:type="dcterms:W3CDTF">2017-12-13T19:49:00Z</dcterms:created>
  <dcterms:modified xsi:type="dcterms:W3CDTF">2021-07-16T11:43:00Z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